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60" w:rsidRDefault="009D350C">
      <w:pPr>
        <w:jc w:val="center"/>
      </w:pPr>
      <w:r>
        <w:rPr>
          <w:b/>
        </w:rPr>
        <w:t>Пояснительная записка</w:t>
      </w:r>
    </w:p>
    <w:p w:rsidR="00710D60" w:rsidRDefault="009D350C">
      <w:pPr>
        <w:jc w:val="center"/>
      </w:pPr>
      <w:r>
        <w:rPr>
          <w:b/>
        </w:rPr>
        <w:t xml:space="preserve">к проекту решения Думы Белоярского района </w:t>
      </w:r>
    </w:p>
    <w:p w:rsidR="00710D60" w:rsidRDefault="009D350C">
      <w:pPr>
        <w:jc w:val="center"/>
      </w:pPr>
      <w:r>
        <w:rPr>
          <w:b/>
        </w:rPr>
        <w:t>«Об исполнении бюджета Белоярского района за 2024 год»</w:t>
      </w:r>
    </w:p>
    <w:p w:rsidR="00710D60" w:rsidRDefault="009D350C">
      <w:pPr>
        <w:jc w:val="center"/>
      </w:pPr>
      <w:r>
        <w:rPr>
          <w:b/>
        </w:rPr>
        <w:t>(далее — проект решения Думы Белоярского района)</w:t>
      </w:r>
    </w:p>
    <w:p w:rsidR="00710D60" w:rsidRDefault="00710D60">
      <w:pPr>
        <w:jc w:val="center"/>
        <w:rPr>
          <w:b/>
        </w:rPr>
      </w:pPr>
    </w:p>
    <w:p w:rsidR="00710D60" w:rsidRDefault="009D350C">
      <w:pPr>
        <w:ind w:firstLine="720"/>
        <w:jc w:val="both"/>
      </w:pPr>
      <w:r>
        <w:t>Проект решения Думы Белоярского района составлен финансовым органом Белоярского района в соответствии с требованиями федерального, регионального законодательства и нормами муниципальных правовых актов</w:t>
      </w:r>
      <w:r>
        <w:rPr>
          <w:bCs/>
        </w:rPr>
        <w:t>.</w:t>
      </w:r>
    </w:p>
    <w:p w:rsidR="00710D60" w:rsidRDefault="009D350C">
      <w:pPr>
        <w:pStyle w:val="ConsPlusNormal0"/>
        <w:jc w:val="both"/>
      </w:pPr>
      <w:r>
        <w:rPr>
          <w:rFonts w:ascii="Times New Roman" w:hAnsi="Times New Roman" w:cs="Times New Roman"/>
          <w:sz w:val="24"/>
          <w:szCs w:val="24"/>
        </w:rPr>
        <w:t>Проект решения Думы Белоярского района подготовлен в с</w:t>
      </w:r>
      <w:r>
        <w:rPr>
          <w:rFonts w:ascii="Times New Roman" w:hAnsi="Times New Roman" w:cs="Times New Roman"/>
          <w:sz w:val="24"/>
          <w:szCs w:val="24"/>
        </w:rPr>
        <w:t>оответствии с Положением об отдельных вопросах организации и осуществления бюджетного процесса в Белоярском районе, утвержденным решением Думы Белоярского района от 5 октября 2007 года № 49 (в редакции решения Думы Белоярского района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28 марта 2024 года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№ 19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10D60" w:rsidRDefault="00710D60">
      <w:pPr>
        <w:ind w:firstLine="708"/>
        <w:jc w:val="both"/>
        <w:rPr>
          <w:highlight w:val="yellow"/>
        </w:rPr>
      </w:pPr>
    </w:p>
    <w:p w:rsidR="00710D60" w:rsidRDefault="009D350C">
      <w:pPr>
        <w:ind w:firstLine="720"/>
        <w:jc w:val="both"/>
      </w:pPr>
      <w:r>
        <w:rPr>
          <w:bCs/>
        </w:rPr>
        <w:t>4 апреля 2025 года получено заключение контрольного органа по результатам проведения внешней проверки годового отчета об исполнении бюджета Белоярского района за 2024 год, с рекомендацией к рассмотрению и утверждению на заседании Думы Белоярского р</w:t>
      </w:r>
      <w:r>
        <w:rPr>
          <w:bCs/>
        </w:rPr>
        <w:t>айона.</w:t>
      </w:r>
    </w:p>
    <w:p w:rsidR="00710D60" w:rsidRDefault="00710D60">
      <w:pPr>
        <w:ind w:firstLine="708"/>
        <w:jc w:val="both"/>
        <w:rPr>
          <w:highlight w:val="yellow"/>
        </w:rPr>
      </w:pPr>
    </w:p>
    <w:p w:rsidR="00710D60" w:rsidRDefault="009D350C">
      <w:pPr>
        <w:ind w:firstLine="708"/>
        <w:jc w:val="both"/>
      </w:pPr>
      <w:r>
        <w:rPr>
          <w:bCs/>
        </w:rPr>
        <w:t>4 апреля 2025 года получено заключение контрольного органа, на проект решения Думы Белоярского района «Об исполнении бюджета Белоярского района за 2024 год» о возможном принятии в представленной редакции.</w:t>
      </w:r>
    </w:p>
    <w:p w:rsidR="00710D60" w:rsidRDefault="00710D60">
      <w:pPr>
        <w:ind w:firstLine="708"/>
        <w:jc w:val="both"/>
        <w:rPr>
          <w:highlight w:val="yellow"/>
        </w:rPr>
      </w:pPr>
    </w:p>
    <w:p w:rsidR="00710D60" w:rsidRDefault="009D350C">
      <w:pPr>
        <w:ind w:firstLine="708"/>
        <w:jc w:val="both"/>
      </w:pPr>
      <w:r>
        <w:rPr>
          <w:bCs/>
        </w:rPr>
        <w:t xml:space="preserve">7 апреля 2025 года </w:t>
      </w:r>
      <w:r>
        <w:t>проект решения Думы Бел</w:t>
      </w:r>
      <w:r>
        <w:t>оярского района</w:t>
      </w:r>
      <w:r>
        <w:rPr>
          <w:bCs/>
        </w:rPr>
        <w:t xml:space="preserve"> направлен в прокуратуру города Белоярский.</w:t>
      </w:r>
    </w:p>
    <w:p w:rsidR="00710D60" w:rsidRDefault="00710D60">
      <w:pPr>
        <w:spacing w:line="0" w:lineRule="atLeast"/>
        <w:ind w:firstLine="709"/>
        <w:jc w:val="both"/>
        <w:rPr>
          <w:highlight w:val="yellow"/>
        </w:rPr>
      </w:pPr>
    </w:p>
    <w:p w:rsidR="00710D60" w:rsidRDefault="009D350C">
      <w:pPr>
        <w:ind w:firstLine="708"/>
        <w:jc w:val="both"/>
        <w:rPr>
          <w:bCs/>
        </w:rPr>
      </w:pPr>
      <w:r>
        <w:rPr>
          <w:bCs/>
        </w:rPr>
        <w:t>В соответствии с решением Думы Белоярского района от 17 апреля 2025 года № 13 проект опубликован в официальном выпуске «Белоярские Вести». Публичные слушания проведены 24 апреля 2025 года.</w:t>
      </w:r>
    </w:p>
    <w:p w:rsidR="00710D60" w:rsidRDefault="00710D60">
      <w:pPr>
        <w:ind w:firstLine="708"/>
        <w:jc w:val="both"/>
      </w:pPr>
    </w:p>
    <w:p w:rsidR="00710D60" w:rsidRDefault="009D350C">
      <w:pPr>
        <w:ind w:firstLine="708"/>
        <w:jc w:val="both"/>
        <w:rPr>
          <w:bCs/>
        </w:rPr>
      </w:pPr>
      <w:r>
        <w:rPr>
          <w:bCs/>
        </w:rPr>
        <w:t>Для об</w:t>
      </w:r>
      <w:r>
        <w:rPr>
          <w:bCs/>
        </w:rPr>
        <w:t>еспечения уровня открытости бюджетных данных на официальном сайте органов местного самоуправления Белоярского района</w:t>
      </w:r>
      <w:r>
        <w:t xml:space="preserve"> </w:t>
      </w:r>
      <w:r>
        <w:rPr>
          <w:bCs/>
        </w:rPr>
        <w:t>в разделах «Исполнение бюджета» и «Бюджет для граждан» размещены материалы по проекту решения района.</w:t>
      </w:r>
    </w:p>
    <w:p w:rsidR="00710D60" w:rsidRDefault="00710D60">
      <w:pPr>
        <w:ind w:firstLine="708"/>
        <w:jc w:val="both"/>
      </w:pPr>
    </w:p>
    <w:p w:rsidR="00710D60" w:rsidRDefault="009D350C">
      <w:pPr>
        <w:ind w:firstLine="708"/>
        <w:jc w:val="both"/>
      </w:pPr>
      <w:r>
        <w:t>Исполнение бюджета Белоярского район</w:t>
      </w:r>
      <w:r>
        <w:t>а (далее - бюджет района) в 2024 году осуществлялось в соответствии с решением Думы Белоярского района от 7 декабря 2023 года № 61 «О бюджете Белоярского района на 2024 год и плановый период 2025 и 2026 годов» (далее – решение о бюджете), на основании свод</w:t>
      </w:r>
      <w:r>
        <w:t xml:space="preserve">ной бюджетной росписи Белоярского района (далее – сводная бюджетная роспись). </w:t>
      </w:r>
    </w:p>
    <w:p w:rsidR="00710D60" w:rsidRDefault="009D350C">
      <w:pPr>
        <w:ind w:firstLine="708"/>
        <w:jc w:val="both"/>
      </w:pPr>
      <w:r>
        <w:t>В 2024 году было принято четыре решения Думы Белоярского района о внесении изменений и дополнений в решение о бюджете района, в связи с уточнением суммы переходящих остатков сре</w:t>
      </w:r>
      <w:r>
        <w:t>дств на счетах по учету средств местного бюджета на 1 января 2024 года, объемов межбюджетных трансфертов, выделенных из бюджета автономного округа, объемов собственных доходов бюджета, дополнительно поступивших в ходе исполнения бюджета района, и прочих бе</w:t>
      </w:r>
      <w:r>
        <w:t xml:space="preserve">звозмездных поступлений. </w:t>
      </w:r>
    </w:p>
    <w:p w:rsidR="00710D60" w:rsidRDefault="009D350C">
      <w:pPr>
        <w:ind w:firstLine="708"/>
        <w:jc w:val="both"/>
      </w:pPr>
      <w:r>
        <w:t>Также, в течение отчетного финансового года, руководствуясь положениями статей 217, 232 Бюджетного кодекса Российской Федерации и статьей 26 решения о бюджете, в утвержденный план на 2024 год были внесены уточнения в расходную час</w:t>
      </w:r>
      <w:r>
        <w:t>ть бюджета, без внесения изменений в решение о бюджете на общую сумму 25 312 200,00 руб., в том числе:</w:t>
      </w:r>
    </w:p>
    <w:p w:rsidR="00710D60" w:rsidRDefault="009D350C">
      <w:pPr>
        <w:ind w:firstLine="708"/>
        <w:jc w:val="both"/>
      </w:pPr>
      <w:r>
        <w:t>- (+) 26 029 700,00 руб. за счет средств резервного фонда Правительства Ханты-Мансийского автономного округа – Югры в целях оплаты задолженности организа</w:t>
      </w:r>
      <w:r>
        <w:t>ций коммунального комплекса за потребленный газ, электрическую энергию (постановление Правительства ХМАО-Югры от 24 декабря 2024 года № 531-п, уведомление от 27.12.2024 года №230/12/700);</w:t>
      </w:r>
    </w:p>
    <w:p w:rsidR="00710D60" w:rsidRDefault="009D350C">
      <w:pPr>
        <w:ind w:firstLine="708"/>
        <w:jc w:val="both"/>
      </w:pPr>
      <w:r>
        <w:t>- (-) 287 000,00 руб. за счет субсидии на о</w:t>
      </w:r>
      <w:r>
        <w:rPr>
          <w:lang w:eastAsia="ru-RU"/>
        </w:rPr>
        <w:t>рганизацию бесплатного го</w:t>
      </w:r>
      <w:r>
        <w:rPr>
          <w:lang w:eastAsia="ru-RU"/>
        </w:rPr>
        <w:t xml:space="preserve">рячего питания обучающихся, получающих начальное общее образование в государственных и муниципальных </w:t>
      </w:r>
      <w:r>
        <w:rPr>
          <w:lang w:eastAsia="ru-RU"/>
        </w:rPr>
        <w:lastRenderedPageBreak/>
        <w:t>образовательных организациях за счет средств федерального бюджета</w:t>
      </w:r>
      <w:r>
        <w:t xml:space="preserve"> (распоряжение Правительства ХМАО-Югры от 26 декабря 2024 года № 690-рп, уведомление от 27</w:t>
      </w:r>
      <w:r>
        <w:t>.12.2024 года № 230/12/700);</w:t>
      </w:r>
    </w:p>
    <w:p w:rsidR="00710D60" w:rsidRDefault="009D350C">
      <w:pPr>
        <w:ind w:firstLine="708"/>
        <w:jc w:val="both"/>
      </w:pPr>
      <w:r>
        <w:t>- (-) 430 500,00 руб. за счет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(распоряжение Правительства Х</w:t>
      </w:r>
      <w:r>
        <w:t>МАО-Югры от 26 декабря 2024 года № 690-рп, уведомление от 27.12.2024 года № 230/12/700).</w:t>
      </w:r>
    </w:p>
    <w:p w:rsidR="00710D60" w:rsidRDefault="00710D60">
      <w:pPr>
        <w:ind w:firstLine="708"/>
        <w:jc w:val="both"/>
      </w:pPr>
    </w:p>
    <w:p w:rsidR="00710D60" w:rsidRDefault="009D350C">
      <w:pPr>
        <w:ind w:firstLine="708"/>
        <w:jc w:val="both"/>
      </w:pPr>
      <w:r>
        <w:t>Информация об изменениях плановых назначений по доходам и расходам бюджета района в 2024 году представлена в приложениях 1 и 2 к настоящей пояснительной записке.</w:t>
      </w:r>
    </w:p>
    <w:p w:rsidR="00710D60" w:rsidRDefault="00710D60">
      <w:pPr>
        <w:ind w:firstLine="708"/>
        <w:jc w:val="both"/>
      </w:pPr>
    </w:p>
    <w:p w:rsidR="00710D60" w:rsidRDefault="009D350C">
      <w:pPr>
        <w:ind w:firstLine="708"/>
        <w:jc w:val="both"/>
      </w:pPr>
      <w:r>
        <w:t>Основные показатели исполнения бюджета района за 2024 год приведены ниже в таблице 1.</w:t>
      </w:r>
    </w:p>
    <w:p w:rsidR="00710D60" w:rsidRDefault="00710D60">
      <w:pPr>
        <w:ind w:firstLine="708"/>
        <w:jc w:val="right"/>
      </w:pPr>
    </w:p>
    <w:p w:rsidR="00710D60" w:rsidRDefault="009D350C">
      <w:pPr>
        <w:jc w:val="center"/>
        <w:rPr>
          <w:b/>
          <w:bCs/>
        </w:rPr>
      </w:pPr>
      <w:r>
        <w:rPr>
          <w:b/>
          <w:bCs/>
        </w:rPr>
        <w:t>Основные показатели исполнения бюджета Белоярского района за 2024 год</w:t>
      </w:r>
    </w:p>
    <w:p w:rsidR="00710D60" w:rsidRDefault="00710D60">
      <w:pPr>
        <w:jc w:val="center"/>
        <w:rPr>
          <w:b/>
          <w:bCs/>
        </w:rPr>
      </w:pPr>
    </w:p>
    <w:p w:rsidR="00710D60" w:rsidRDefault="009D350C">
      <w:pPr>
        <w:ind w:firstLine="708"/>
        <w:jc w:val="right"/>
      </w:pPr>
      <w:r>
        <w:t>Таблица 1</w:t>
      </w:r>
    </w:p>
    <w:p w:rsidR="00710D60" w:rsidRDefault="009D350C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руб.</w:t>
      </w:r>
    </w:p>
    <w:tbl>
      <w:tblPr>
        <w:tblW w:w="10259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1400"/>
        <w:gridCol w:w="1662"/>
        <w:gridCol w:w="1676"/>
        <w:gridCol w:w="1650"/>
        <w:gridCol w:w="1662"/>
        <w:gridCol w:w="1125"/>
        <w:gridCol w:w="1084"/>
      </w:tblGrid>
      <w:tr w:rsidR="00710D60">
        <w:trPr>
          <w:trHeight w:val="539"/>
          <w:tblHeader/>
        </w:trPr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Наимено-вание показателя </w:t>
            </w:r>
          </w:p>
        </w:tc>
        <w:tc>
          <w:tcPr>
            <w:tcW w:w="1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Первоначаль-ный план, утвержденный решением Думы района о</w:t>
            </w:r>
            <w:r>
              <w:rPr>
                <w:b/>
                <w:sz w:val="20"/>
                <w:szCs w:val="20"/>
              </w:rPr>
              <w:t>т 07.12.2023 года № 61</w:t>
            </w: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Утвержденный план, согласно решению Думы района от 20.12.2024 года № 88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Уточненный план в соответствии со статьями 217, 232 БК РФ  </w:t>
            </w:r>
          </w:p>
        </w:tc>
        <w:tc>
          <w:tcPr>
            <w:tcW w:w="1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Фактическое исполнение </w:t>
            </w:r>
          </w:p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  2024 год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Процент исполнения </w:t>
            </w:r>
          </w:p>
        </w:tc>
      </w:tr>
      <w:tr w:rsidR="00710D60">
        <w:trPr>
          <w:trHeight w:val="702"/>
          <w:tblHeader/>
        </w:trPr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710D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710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710D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710D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710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 первона-чальному плану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 уточнен-ному плану</w:t>
            </w:r>
          </w:p>
        </w:tc>
      </w:tr>
      <w:tr w:rsidR="00710D60">
        <w:trPr>
          <w:trHeight w:val="143"/>
          <w:tblHeader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710D60">
        <w:trPr>
          <w:cantSplit/>
          <w:trHeight w:val="283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ind w:left="34" w:right="-108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4 930 360 400,00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6 344 402 819,01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6 344 402 819,01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6 336 437 421,03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710D60">
        <w:trPr>
          <w:cantSplit/>
          <w:trHeight w:val="283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ind w:left="34" w:right="-108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5 014 003 300,00</w:t>
            </w:r>
          </w:p>
        </w:tc>
        <w:tc>
          <w:tcPr>
            <w:tcW w:w="16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6 569 864 535,56</w:t>
            </w:r>
          </w:p>
        </w:tc>
        <w:tc>
          <w:tcPr>
            <w:tcW w:w="1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6 595 176 735,56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6 475 841 488,89</w:t>
            </w:r>
          </w:p>
        </w:tc>
        <w:tc>
          <w:tcPr>
            <w:tcW w:w="11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129,2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98,2</w:t>
            </w:r>
          </w:p>
        </w:tc>
      </w:tr>
      <w:tr w:rsidR="00710D60">
        <w:trPr>
          <w:cantSplit/>
          <w:trHeight w:val="283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ind w:left="34" w:right="-108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Дефицит (-);</w:t>
            </w:r>
          </w:p>
          <w:p w:rsidR="00710D60" w:rsidRDefault="009D350C">
            <w:pPr>
              <w:ind w:left="34" w:right="-108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Профицит (+)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-83 642 900,00</w:t>
            </w:r>
          </w:p>
        </w:tc>
        <w:tc>
          <w:tcPr>
            <w:tcW w:w="16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-225 461 716,55</w:t>
            </w:r>
          </w:p>
        </w:tc>
        <w:tc>
          <w:tcPr>
            <w:tcW w:w="16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-250 773 916,55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-139 404 067,86</w:t>
            </w:r>
          </w:p>
        </w:tc>
        <w:tc>
          <w:tcPr>
            <w:tcW w:w="112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</w:t>
            </w:r>
          </w:p>
        </w:tc>
        <w:tc>
          <w:tcPr>
            <w:tcW w:w="108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55,6</w:t>
            </w:r>
          </w:p>
        </w:tc>
      </w:tr>
    </w:tbl>
    <w:p w:rsidR="00710D60" w:rsidRDefault="00710D60">
      <w:pPr>
        <w:ind w:firstLine="851"/>
        <w:jc w:val="both"/>
      </w:pPr>
    </w:p>
    <w:p w:rsidR="00710D60" w:rsidRDefault="009D350C">
      <w:pPr>
        <w:ind w:firstLine="851"/>
        <w:jc w:val="both"/>
      </w:pPr>
      <w:r>
        <w:t>Характеристики исполнения бюджета района за 2024 год по доходам, расходам и источникам финансирования бюджета района приведены далее в настоящей пояснительной записке.</w:t>
      </w:r>
    </w:p>
    <w:p w:rsidR="00710D60" w:rsidRDefault="009D350C">
      <w:pPr>
        <w:jc w:val="center"/>
        <w:rPr>
          <w:b/>
          <w:color w:val="000000"/>
        </w:rPr>
      </w:pPr>
      <w:r>
        <w:rPr>
          <w:b/>
          <w:color w:val="000000"/>
        </w:rPr>
        <w:t>Исполнение по доходам</w:t>
      </w:r>
    </w:p>
    <w:p w:rsidR="00710D60" w:rsidRDefault="009D350C">
      <w:pPr>
        <w:jc w:val="center"/>
        <w:rPr>
          <w:b/>
          <w:color w:val="000000"/>
        </w:rPr>
      </w:pPr>
      <w:r>
        <w:rPr>
          <w:b/>
          <w:color w:val="000000"/>
        </w:rPr>
        <w:t>бюджета Белоярского района за 2024 год</w:t>
      </w:r>
    </w:p>
    <w:p w:rsidR="00710D60" w:rsidRDefault="00710D60">
      <w:pPr>
        <w:jc w:val="center"/>
        <w:rPr>
          <w:b/>
          <w:color w:val="000000"/>
        </w:rPr>
      </w:pPr>
    </w:p>
    <w:p w:rsidR="00710D60" w:rsidRDefault="009D350C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Доходы бюджета района за 2024 год исполнены в сумме 6 336 437 421,03 руб., что составило 99,9 % к уточненным плановым назначениям в сумме 6 344 402 819,01 руб. По сравнению с 2023 годом сумма доходов увеличилась на</w:t>
      </w:r>
      <w:r>
        <w:rPr>
          <w:rFonts w:eastAsia="Times New Roman"/>
          <w:color w:val="000000"/>
          <w:highlight w:val="white"/>
        </w:rPr>
        <w:t xml:space="preserve"> </w:t>
      </w:r>
      <w:r>
        <w:rPr>
          <w:rFonts w:eastAsia="Times New Roman"/>
          <w:color w:val="000000"/>
        </w:rPr>
        <w:t>1</w:t>
      </w:r>
      <w:r>
        <w:rPr>
          <w:rFonts w:eastAsia="Times New Roman"/>
          <w:color w:val="000000"/>
        </w:rPr>
        <w:t> 297 987 115,88 руб. или на 25,8 %.</w:t>
      </w:r>
    </w:p>
    <w:p w:rsidR="00710D60" w:rsidRDefault="009D350C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Структура доходов бюджета района представлена налоговыми, неналоговыми доходами и безвозмездными поступлениями. Основу доходной части бюджета составляют безвозмездные поступления, их доля в общем объеме доходов составляе</w:t>
      </w:r>
      <w:r>
        <w:rPr>
          <w:rFonts w:eastAsia="Times New Roman"/>
          <w:color w:val="000000"/>
        </w:rPr>
        <w:t>т 83,5 % (в 2023 году – 80,0 %), налоговые доходы составляют 14,6 % (в 2023 году – 16,9 %), неналоговые доходы занимают наименьший удельный вес 1,9 % (в 2023 года – 3,1 %). Сведения о фактических поступлениях доходов в сравнении с первоначально утвержденны</w:t>
      </w:r>
      <w:r>
        <w:rPr>
          <w:rFonts w:eastAsia="Times New Roman"/>
          <w:color w:val="000000"/>
        </w:rPr>
        <w:t>ми (установленными) решением о бюджете района на 2024 год и плановый период 2025 и 2026 годов значениями и с уточненными значениями (с учетом внесенных изменений в бюджет района) за 2024 год представлены в приложении 3 к пояснительной записке.</w:t>
      </w:r>
    </w:p>
    <w:p w:rsidR="00710D60" w:rsidRDefault="009D350C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Наибольший о</w:t>
      </w:r>
      <w:r>
        <w:rPr>
          <w:rFonts w:eastAsia="Times New Roman"/>
          <w:color w:val="000000"/>
        </w:rPr>
        <w:t>бъем доходов бюджета района (83,7 %) администрирует финансовый орган администрации Белоярского района (Комитет по финансам и налоговой политике администрации Белоярского района), 14,6 % приходится на Межрайонную ИФНС № 7 по Ханты-Мансийскому автономному ок</w:t>
      </w:r>
      <w:r>
        <w:rPr>
          <w:rFonts w:eastAsia="Times New Roman"/>
          <w:color w:val="000000"/>
        </w:rPr>
        <w:t>ругу-Югре, на третьем месте Комитет муниципальной собственности администрации Белоярского района – 1,5 %. Информация о поступлениях доходов в бюджет района в разрезе главных администраторов доходов за 2024 год представлена в приложении 4 к пояснительной за</w:t>
      </w:r>
      <w:r>
        <w:rPr>
          <w:rFonts w:eastAsia="Times New Roman"/>
          <w:color w:val="000000"/>
        </w:rPr>
        <w:t>писке.</w:t>
      </w:r>
    </w:p>
    <w:p w:rsidR="00710D60" w:rsidRDefault="00710D60">
      <w:pPr>
        <w:ind w:firstLine="709"/>
        <w:jc w:val="both"/>
        <w:rPr>
          <w:rFonts w:eastAsia="Times New Roman"/>
          <w:color w:val="000000"/>
        </w:rPr>
      </w:pPr>
    </w:p>
    <w:p w:rsidR="00710D60" w:rsidRDefault="009D350C">
      <w:pPr>
        <w:jc w:val="center"/>
        <w:rPr>
          <w:b/>
          <w:color w:val="000000"/>
        </w:rPr>
      </w:pPr>
      <w:r>
        <w:rPr>
          <w:b/>
          <w:color w:val="000000"/>
        </w:rPr>
        <w:t>Налоговые доходы</w:t>
      </w:r>
    </w:p>
    <w:p w:rsidR="00710D60" w:rsidRDefault="00710D60">
      <w:pPr>
        <w:jc w:val="center"/>
        <w:rPr>
          <w:b/>
          <w:color w:val="000000"/>
        </w:rPr>
      </w:pPr>
    </w:p>
    <w:p w:rsidR="00710D60" w:rsidRDefault="009D350C">
      <w:pPr>
        <w:ind w:firstLine="709"/>
        <w:jc w:val="both"/>
        <w:rPr>
          <w:iCs/>
        </w:rPr>
      </w:pPr>
      <w:r>
        <w:rPr>
          <w:bCs/>
          <w:iCs/>
        </w:rPr>
        <w:t>В 2024 году налоговые доходы в бюджет района поступили в сумме 926 430 212,12 руб., что составляет 100,6 % при плане 920 527 767,53 руб. По сравнению с 2023 годом исполнение по налоговым доходам составило 108,8 %, в абсолютном выр</w:t>
      </w:r>
      <w:r>
        <w:rPr>
          <w:bCs/>
          <w:iCs/>
        </w:rPr>
        <w:t>ажении увеличились на 74 742 912,92 руб.</w:t>
      </w:r>
    </w:p>
    <w:p w:rsidR="00710D60" w:rsidRDefault="00710D60">
      <w:pPr>
        <w:jc w:val="center"/>
        <w:rPr>
          <w:color w:val="000000"/>
        </w:rPr>
      </w:pPr>
    </w:p>
    <w:p w:rsidR="00710D60" w:rsidRDefault="009D350C">
      <w:pPr>
        <w:jc w:val="center"/>
        <w:rPr>
          <w:b/>
          <w:bCs/>
        </w:rPr>
      </w:pPr>
      <w:r>
        <w:rPr>
          <w:b/>
          <w:bCs/>
        </w:rPr>
        <w:t>Исполнение по налоговым доходам бюджета района</w:t>
      </w:r>
      <w:r>
        <w:t xml:space="preserve"> </w:t>
      </w:r>
      <w:r>
        <w:rPr>
          <w:b/>
          <w:bCs/>
        </w:rPr>
        <w:t xml:space="preserve">за 2024 год </w:t>
      </w:r>
    </w:p>
    <w:p w:rsidR="00710D60" w:rsidRDefault="009D350C">
      <w:pPr>
        <w:ind w:firstLine="708"/>
        <w:jc w:val="right"/>
      </w:pPr>
      <w:r>
        <w:t>Таблица 2</w:t>
      </w:r>
    </w:p>
    <w:p w:rsidR="00710D60" w:rsidRDefault="00710D60">
      <w:pPr>
        <w:ind w:firstLine="709"/>
        <w:jc w:val="right"/>
        <w:rPr>
          <w:rFonts w:eastAsia="Times New Roman"/>
          <w:color w:val="000000"/>
          <w:highlight w:val="cyan"/>
        </w:rPr>
      </w:pPr>
    </w:p>
    <w:tbl>
      <w:tblPr>
        <w:tblW w:w="1006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84"/>
        <w:gridCol w:w="1843"/>
        <w:gridCol w:w="1701"/>
        <w:gridCol w:w="1417"/>
        <w:gridCol w:w="1559"/>
        <w:gridCol w:w="1559"/>
      </w:tblGrid>
      <w:tr w:rsidR="00710D60">
        <w:trPr>
          <w:trHeight w:val="1037"/>
          <w:tblHeader/>
        </w:trPr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ind w:left="-40" w:firstLine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2023 год, 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Уточенный план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2024 год, руб.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2024 год,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Удельный вес в общем объёме доходов на 2024 год,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 xml:space="preserve">Процент исполнения к уточненному </w:t>
            </w:r>
          </w:p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плану на 2024 год, %</w:t>
            </w:r>
          </w:p>
        </w:tc>
      </w:tr>
      <w:tr w:rsidR="00710D60">
        <w:trPr>
          <w:trHeight w:val="156"/>
          <w:tblHeader/>
        </w:trPr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ind w:left="-40" w:firstLine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710D60">
        <w:trPr>
          <w:trHeight w:val="493"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773 367 216,38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820 953 851,49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825 947 055,49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</w:t>
            </w:r>
          </w:p>
        </w:tc>
      </w:tr>
      <w:tr w:rsidR="00710D60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Акцизы на нефтепродукты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12 055 070,79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13 570 686,88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13 518 655,32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710D60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54 505 743,89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72 346 512,65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72 211 392,82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</w:t>
            </w:r>
          </w:p>
        </w:tc>
      </w:tr>
      <w:tr w:rsidR="00710D60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6 916 256,48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7 220 636,32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7 297 785,11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101,1</w:t>
            </w:r>
          </w:p>
        </w:tc>
      </w:tr>
      <w:tr w:rsidR="00710D60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4 843 011,66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6 436 080,19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7 455 323,38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115,8</w:t>
            </w:r>
          </w:p>
        </w:tc>
      </w:tr>
      <w:tr w:rsidR="00710D60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851 687 299,20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920 527 767,53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926 430 212,12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100,6</w:t>
            </w:r>
          </w:p>
        </w:tc>
      </w:tr>
    </w:tbl>
    <w:p w:rsidR="00710D60" w:rsidRDefault="00710D60"/>
    <w:p w:rsidR="00710D60" w:rsidRDefault="009D350C">
      <w:pPr>
        <w:ind w:firstLine="709"/>
        <w:jc w:val="both"/>
        <w:rPr>
          <w:bCs/>
          <w:iCs/>
        </w:rPr>
      </w:pPr>
      <w:r>
        <w:rPr>
          <w:rFonts w:eastAsia="Times New Roman"/>
          <w:color w:val="000000"/>
        </w:rPr>
        <w:t>Удельный вес по</w:t>
      </w:r>
      <w:r>
        <w:rPr>
          <w:rFonts w:eastAsia="Times New Roman"/>
          <w:color w:val="000000"/>
        </w:rPr>
        <w:t>ступлений налоговых доходов в общем объеме налоговых и неналоговых доходов бюджета района составляет 88,8 %. Структура налоговых доходов бюджета района и удельный вес каждого вида налогового дохода в общем объеме налоговых доходов представлена в таблице 2.</w:t>
      </w:r>
    </w:p>
    <w:p w:rsidR="00710D60" w:rsidRDefault="009D350C">
      <w:pPr>
        <w:ind w:firstLine="709"/>
        <w:jc w:val="both"/>
        <w:rPr>
          <w:bCs/>
        </w:rPr>
      </w:pPr>
      <w:r>
        <w:rPr>
          <w:rFonts w:eastAsia="Times New Roman"/>
          <w:color w:val="000000"/>
        </w:rPr>
        <w:t xml:space="preserve">Основным доходным источником в общей структуре налоговых доходов бюджета района является </w:t>
      </w:r>
      <w:r>
        <w:rPr>
          <w:rFonts w:eastAsia="Times New Roman"/>
          <w:b/>
          <w:bCs/>
          <w:color w:val="000000"/>
        </w:rPr>
        <w:t>налог на доходы физических лиц</w:t>
      </w:r>
      <w:r>
        <w:rPr>
          <w:rFonts w:eastAsia="Times New Roman"/>
          <w:color w:val="000000"/>
        </w:rPr>
        <w:t xml:space="preserve"> (89,2 %). Исполнение по налогу в 2024 году составляет 825 947 055,49 руб. или 100,6 % при плане 820 953 851,49 руб. По сравнению с 2023</w:t>
      </w:r>
      <w:r>
        <w:rPr>
          <w:rFonts w:eastAsia="Times New Roman"/>
          <w:color w:val="000000"/>
        </w:rPr>
        <w:t xml:space="preserve"> годом налог на доходы физических лиц исполнен на 106,8 %, в абсолютном выражении поступления по налогу увеличились на сумму 52 579 839,11 руб. Увеличение поступлений по сравнению с аналогичным периодом прошлого года объясняется</w:t>
      </w:r>
      <w:r>
        <w:rPr>
          <w:rFonts w:eastAsia="Times New Roman"/>
          <w:color w:val="FF0000"/>
        </w:rPr>
        <w:t xml:space="preserve"> </w:t>
      </w:r>
      <w:r>
        <w:rPr>
          <w:bCs/>
        </w:rPr>
        <w:t>ростом фонда оплаты труда р</w:t>
      </w:r>
      <w:r>
        <w:rPr>
          <w:bCs/>
        </w:rPr>
        <w:t>аботников организаций, осуществляющих деятельность на территории Белоярского района.</w:t>
      </w:r>
    </w:p>
    <w:p w:rsidR="00710D60" w:rsidRDefault="009D350C">
      <w:pPr>
        <w:pStyle w:val="28"/>
        <w:ind w:firstLine="709"/>
        <w:jc w:val="both"/>
        <w:rPr>
          <w:color w:val="000000"/>
        </w:rPr>
      </w:pPr>
      <w:r>
        <w:rPr>
          <w:rFonts w:eastAsia="Times New Roman"/>
          <w:b/>
          <w:bCs/>
          <w:color w:val="000000"/>
        </w:rPr>
        <w:t>Налоги на товары (работы, услуги), реализуемые на территории Российской Федерации</w:t>
      </w:r>
      <w:r>
        <w:rPr>
          <w:rFonts w:eastAsia="Times New Roman"/>
          <w:color w:val="000000"/>
        </w:rPr>
        <w:t xml:space="preserve"> (далее – акцизы) исполнены в сумме 13 518 655,32 руб. или 99,6 % к плановым назначениям в</w:t>
      </w:r>
      <w:r>
        <w:rPr>
          <w:rFonts w:eastAsia="Times New Roman"/>
          <w:color w:val="000000"/>
        </w:rPr>
        <w:t xml:space="preserve"> сумме 13 570 686,88 руб.</w:t>
      </w:r>
    </w:p>
    <w:p w:rsidR="00710D60" w:rsidRDefault="009D350C">
      <w:pPr>
        <w:pStyle w:val="28"/>
        <w:ind w:firstLine="709"/>
        <w:jc w:val="both"/>
      </w:pPr>
      <w:r>
        <w:rPr>
          <w:b/>
          <w:bCs/>
          <w:color w:val="000000"/>
        </w:rPr>
        <w:t>Налоги на совокупный доход</w:t>
      </w:r>
      <w:r>
        <w:rPr>
          <w:color w:val="000000"/>
        </w:rPr>
        <w:t xml:space="preserve"> </w:t>
      </w:r>
      <w:r>
        <w:t xml:space="preserve">в структуре налоговых доходов бюджета района составляют 6,4 %, </w:t>
      </w:r>
      <w:r>
        <w:rPr>
          <w:bCs/>
        </w:rPr>
        <w:t xml:space="preserve">включают в себя поступления: </w:t>
      </w:r>
    </w:p>
    <w:p w:rsidR="00710D60" w:rsidRDefault="009D350C">
      <w:pPr>
        <w:ind w:firstLine="706"/>
        <w:jc w:val="both"/>
      </w:pPr>
      <w:r>
        <w:rPr>
          <w:bCs/>
        </w:rPr>
        <w:t>- по налогу, взимаемому в связи с применением упрощенной системы налогообложения (УСН);</w:t>
      </w:r>
    </w:p>
    <w:p w:rsidR="00710D60" w:rsidRDefault="009D350C">
      <w:pPr>
        <w:ind w:firstLine="706"/>
        <w:jc w:val="both"/>
      </w:pPr>
      <w:r>
        <w:rPr>
          <w:bCs/>
        </w:rPr>
        <w:t>- по единому налогу на</w:t>
      </w:r>
      <w:r>
        <w:rPr>
          <w:bCs/>
        </w:rPr>
        <w:t xml:space="preserve"> вмененный доход для отдельных видов деятельности (ЕНВД) (данный налог отменен с 2021 года, зачисления в части перерасчетов, недоимки и погашения задолженности);</w:t>
      </w:r>
    </w:p>
    <w:p w:rsidR="00710D60" w:rsidRDefault="009D350C">
      <w:pPr>
        <w:ind w:firstLine="706"/>
        <w:jc w:val="both"/>
      </w:pPr>
      <w:r>
        <w:t>- по единому сельскохозяйственному налогу;</w:t>
      </w:r>
    </w:p>
    <w:p w:rsidR="00710D60" w:rsidRDefault="009D350C">
      <w:pPr>
        <w:ind w:firstLine="706"/>
        <w:jc w:val="both"/>
      </w:pPr>
      <w:r>
        <w:t>- по налогу, взимаемому в связи с применением патен</w:t>
      </w:r>
      <w:r>
        <w:t>тной системы налогообложения.</w:t>
      </w:r>
    </w:p>
    <w:p w:rsidR="00710D60" w:rsidRDefault="009D350C">
      <w:pPr>
        <w:ind w:firstLine="709"/>
        <w:jc w:val="both"/>
        <w:rPr>
          <w:color w:val="000000"/>
        </w:rPr>
      </w:pPr>
      <w:r>
        <w:t>И</w:t>
      </w:r>
      <w:r>
        <w:rPr>
          <w:color w:val="000000"/>
        </w:rPr>
        <w:t xml:space="preserve">сполнение по налогам на совокупный доход в 2024 году составило 72 211 392,82 руб. или 99,8 % при плане 72 346 512,65 руб. </w:t>
      </w:r>
    </w:p>
    <w:p w:rsidR="00710D60" w:rsidRDefault="009D350C">
      <w:pPr>
        <w:ind w:firstLine="709"/>
        <w:jc w:val="both"/>
        <w:rPr>
          <w:color w:val="000000"/>
        </w:rPr>
      </w:pPr>
      <w:r>
        <w:rPr>
          <w:color w:val="000000"/>
        </w:rPr>
        <w:t>По сравнению с 2023 годом в 2024 году налоги на совокупный доход исполнены на 132,</w:t>
      </w:r>
      <w:r>
        <w:rPr>
          <w:color w:val="000000"/>
        </w:rPr>
        <w:t xml:space="preserve">5 %, в абсолютном выражении увеличились на сумму 17 705 648,93 руб. Увеличение поступлений объясняется ростом поступлений по сравнению с 2023 годом в связи с увеличением доходов налогоплательщиков, применяющих упрощенную систему налогообложения, а также с </w:t>
      </w:r>
      <w:r>
        <w:rPr>
          <w:color w:val="000000"/>
        </w:rPr>
        <w:lastRenderedPageBreak/>
        <w:t>введением новых видов деятельности и увеличением количества налогоплательщиков, применяющих патентную систему налогообложения.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rFonts w:eastAsia="Times New Roman"/>
          <w:b/>
          <w:bCs/>
          <w:color w:val="000000"/>
        </w:rPr>
        <w:t>Налоги на имущество</w:t>
      </w:r>
      <w:r>
        <w:rPr>
          <w:rFonts w:eastAsia="Times New Roman"/>
          <w:color w:val="000000"/>
        </w:rPr>
        <w:t xml:space="preserve"> (земельный налог, налог на имущество физических лиц, транспортный налог) исполнены в сумме 7 297 785,11 руб. </w:t>
      </w:r>
      <w:r>
        <w:rPr>
          <w:rFonts w:eastAsia="Times New Roman"/>
          <w:color w:val="000000"/>
        </w:rPr>
        <w:t xml:space="preserve">на 101,1 % при плане 7 220 636,32 руб. По сравнению с 2023 годом в 2024 году налоги на имущество исполнены на 105,5 %, в абсолютном выражении увеличились на сумму 381 528,63 руб. Увеличение поступлений объясняется </w:t>
      </w:r>
      <w:r>
        <w:rPr>
          <w:color w:val="000000"/>
        </w:rPr>
        <w:t>погашением налогоплательщиками задолженнос</w:t>
      </w:r>
      <w:r>
        <w:rPr>
          <w:color w:val="000000"/>
        </w:rPr>
        <w:t>ти прошлых лет по транспортному налогу.</w:t>
      </w:r>
    </w:p>
    <w:p w:rsidR="00710D60" w:rsidRDefault="009D350C">
      <w:pPr>
        <w:ind w:firstLine="720"/>
        <w:jc w:val="both"/>
        <w:rPr>
          <w:highlight w:val="cyan"/>
        </w:rPr>
      </w:pPr>
      <w:r>
        <w:rPr>
          <w:rFonts w:eastAsia="Times New Roman"/>
          <w:b/>
          <w:bCs/>
          <w:color w:val="000000"/>
        </w:rPr>
        <w:t xml:space="preserve">Государственная пошлина, сборы </w:t>
      </w:r>
      <w:r>
        <w:rPr>
          <w:rFonts w:eastAsia="Times New Roman"/>
          <w:color w:val="000000"/>
        </w:rPr>
        <w:t>исполнены в сумме 7 455 323,38 руб. на 115,8 % при плане 6 436 080,19 руб. Превышение прогнозных значений в связи с ростом количества налогоплательщиков, уплативших госпошлину, и увелич</w:t>
      </w:r>
      <w:r>
        <w:rPr>
          <w:rFonts w:eastAsia="Times New Roman"/>
          <w:color w:val="000000"/>
        </w:rPr>
        <w:t>ением размера госпошлин.</w:t>
      </w:r>
    </w:p>
    <w:p w:rsidR="00710D60" w:rsidRDefault="00710D60">
      <w:pPr>
        <w:jc w:val="center"/>
        <w:rPr>
          <w:b/>
          <w:bCs/>
        </w:rPr>
      </w:pPr>
    </w:p>
    <w:p w:rsidR="00710D60" w:rsidRDefault="009D350C">
      <w:pPr>
        <w:jc w:val="center"/>
        <w:rPr>
          <w:b/>
          <w:bCs/>
        </w:rPr>
      </w:pPr>
      <w:r>
        <w:rPr>
          <w:b/>
          <w:bCs/>
        </w:rPr>
        <w:t>Неналоговые доходы</w:t>
      </w:r>
    </w:p>
    <w:p w:rsidR="00710D60" w:rsidRDefault="00710D60">
      <w:pPr>
        <w:ind w:firstLine="709"/>
        <w:jc w:val="both"/>
      </w:pPr>
    </w:p>
    <w:p w:rsidR="00710D60" w:rsidRDefault="009D350C">
      <w:pPr>
        <w:ind w:firstLine="709"/>
        <w:jc w:val="both"/>
      </w:pPr>
      <w:r>
        <w:rPr>
          <w:bCs/>
          <w:iCs/>
        </w:rPr>
        <w:t xml:space="preserve">Неналоговые доходы </w:t>
      </w:r>
      <w:r>
        <w:t>в бюджет района поступили в сумме 154 528 376,69 руб., что составляет 105,6 % при плане 146 326 084,05 руб. По сравнению с 2023 годом исполнение по неналоговым доходам составило 75,3 %, в абс</w:t>
      </w:r>
      <w:r>
        <w:t xml:space="preserve">олютном </w:t>
      </w:r>
      <w:r>
        <w:rPr>
          <w:bCs/>
          <w:iCs/>
        </w:rPr>
        <w:t>выражении уменьшилось на 38 165 385,54 руб.</w:t>
      </w:r>
    </w:p>
    <w:p w:rsidR="00710D60" w:rsidRDefault="009D350C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Удельный вес поступлений неналоговых доходов в общем объеме налоговых и неналоговых доходов бюджета района составляет 11,2 %. Структура неналоговых доходов бюджета района и удельный вес каждого вида ненал</w:t>
      </w:r>
      <w:r>
        <w:rPr>
          <w:rFonts w:eastAsia="Times New Roman"/>
          <w:color w:val="000000"/>
        </w:rPr>
        <w:t>огового дохода в общем объеме неналоговых доходов представлена ниже на таблице 3.</w:t>
      </w:r>
    </w:p>
    <w:p w:rsidR="00710D60" w:rsidRDefault="009D350C">
      <w:pPr>
        <w:jc w:val="right"/>
        <w:rPr>
          <w:b/>
          <w:bCs/>
        </w:rPr>
      </w:pPr>
      <w:r>
        <w:rPr>
          <w:b/>
          <w:bCs/>
        </w:rPr>
        <w:t>Таблица 3</w:t>
      </w:r>
    </w:p>
    <w:p w:rsidR="00710D60" w:rsidRDefault="009D350C">
      <w:pPr>
        <w:jc w:val="center"/>
        <w:rPr>
          <w:b/>
          <w:bCs/>
        </w:rPr>
      </w:pPr>
      <w:r>
        <w:rPr>
          <w:b/>
          <w:bCs/>
        </w:rPr>
        <w:t xml:space="preserve">Исполнение по неналоговым доходам бюджета района за 2024 год </w:t>
      </w:r>
    </w:p>
    <w:tbl>
      <w:tblPr>
        <w:tblpPr w:leftFromText="180" w:rightFromText="180" w:vertAnchor="text" w:horzAnchor="page" w:tblpX="1147" w:tblpY="152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07"/>
        <w:gridCol w:w="1677"/>
        <w:gridCol w:w="1418"/>
        <w:gridCol w:w="1701"/>
        <w:gridCol w:w="1559"/>
        <w:gridCol w:w="1417"/>
      </w:tblGrid>
      <w:tr w:rsidR="00710D60">
        <w:trPr>
          <w:trHeight w:val="493"/>
        </w:trPr>
        <w:tc>
          <w:tcPr>
            <w:tcW w:w="1907" w:type="dxa"/>
            <w:tcBorders>
              <w:top w:val="single" w:sz="4" w:space="0" w:color="auto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ind w:left="-40" w:firstLine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2023 год, руб.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Уточенный план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2024 год, 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2024 год,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Удельный вес в общем объёме доходов на 2024 год,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 xml:space="preserve">Процент исполнения к уточненному </w:t>
            </w:r>
          </w:p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плану на 2024 год, %</w:t>
            </w:r>
          </w:p>
        </w:tc>
      </w:tr>
      <w:tr w:rsidR="00710D60">
        <w:trPr>
          <w:trHeight w:val="493"/>
        </w:trPr>
        <w:tc>
          <w:tcPr>
            <w:tcW w:w="1907" w:type="dxa"/>
            <w:tcBorders>
              <w:top w:val="single" w:sz="4" w:space="0" w:color="auto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ind w:left="-40" w:firstLine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710D60">
        <w:trPr>
          <w:trHeight w:val="493"/>
        </w:trPr>
        <w:tc>
          <w:tcPr>
            <w:tcW w:w="1907" w:type="dxa"/>
            <w:tcBorders>
              <w:top w:val="single" w:sz="4" w:space="0" w:color="auto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ind w:left="-40" w:firstLine="40"/>
              <w:rPr>
                <w:b/>
                <w:bCs/>
                <w:sz w:val="20"/>
                <w:szCs w:val="20"/>
              </w:rPr>
            </w:pPr>
            <w:hyperlink r:id="rId9" w:tooltip="consultantplus://offline/ref=3BEC4B28F04A1656B8CB113EAF2B794CD3F3FA95D2E61EDABDC98642FC6418CCD9BBFE51061AB7BB51514D35150281B4FF4C953CCC459FEEs2bAJ" w:history="1">
              <w:r>
                <w:rPr>
                  <w:rStyle w:val="a6"/>
                  <w:color w:val="000000"/>
                  <w:sz w:val="20"/>
                  <w:szCs w:val="20"/>
                  <w:u w:val="none"/>
                </w:rPr>
                <w:t>Доходы от использования имущества, находящегося в муниципальной собственности</w:t>
              </w:r>
            </w:hyperlink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46 572 967,62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28 081 994,30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29 572 207,13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105,3</w:t>
            </w:r>
          </w:p>
        </w:tc>
      </w:tr>
      <w:tr w:rsidR="00710D60">
        <w:trPr>
          <w:trHeight w:val="493"/>
        </w:trPr>
        <w:tc>
          <w:tcPr>
            <w:tcW w:w="1907" w:type="dxa"/>
            <w:tcBorders>
              <w:top w:val="single" w:sz="4" w:space="0" w:color="auto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ind w:left="-40" w:firstLine="40"/>
            </w:pPr>
            <w:r>
              <w:rPr>
                <w:rStyle w:val="a6"/>
                <w:color w:val="000000"/>
                <w:sz w:val="20"/>
                <w:szCs w:val="20"/>
                <w:u w:val="none"/>
              </w:rPr>
              <w:t>Платежи при пользовании природными ресурсами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7 193 317,92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7 423 795,13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7 435 335,63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100,2</w:t>
            </w:r>
          </w:p>
        </w:tc>
      </w:tr>
      <w:tr w:rsidR="00710D60">
        <w:trPr>
          <w:trHeight w:val="493"/>
        </w:trPr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9 839 200,87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7 536 056,76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7 537 236,14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10D60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82 616 377,78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69 547 407,01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71 184 207,79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102,4</w:t>
            </w:r>
          </w:p>
        </w:tc>
      </w:tr>
      <w:tr w:rsidR="00710D60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8 279 226,63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2 352 276,40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3 601 290,33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153,1</w:t>
            </w:r>
          </w:p>
        </w:tc>
      </w:tr>
      <w:tr w:rsidR="00710D60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27 285,87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60 000,00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32 714,13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54,5</w:t>
            </w:r>
          </w:p>
        </w:tc>
      </w:tr>
      <w:tr w:rsidR="00710D60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154 528 376,69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115 001 529,60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119 362 991,15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103,8</w:t>
            </w:r>
          </w:p>
        </w:tc>
      </w:tr>
    </w:tbl>
    <w:p w:rsidR="00710D60" w:rsidRDefault="00710D60">
      <w:pPr>
        <w:jc w:val="both"/>
        <w:rPr>
          <w:rFonts w:eastAsia="Times New Roman"/>
          <w:color w:val="000000"/>
          <w:lang w:val="en-US"/>
        </w:rPr>
      </w:pPr>
    </w:p>
    <w:p w:rsidR="00710D60" w:rsidRDefault="009D350C">
      <w:pPr>
        <w:ind w:firstLine="851"/>
        <w:jc w:val="both"/>
        <w:rPr>
          <w:color w:val="000000"/>
        </w:rPr>
      </w:pPr>
      <w:bookmarkStart w:id="0" w:name="_1679818611"/>
      <w:bookmarkEnd w:id="0"/>
      <w:r>
        <w:rPr>
          <w:b/>
          <w:bCs/>
          <w:color w:val="000000"/>
        </w:rPr>
        <w:t>Доходы от использования имущества, находящегося в государственной и муниципальной собственности</w:t>
      </w:r>
      <w:r>
        <w:rPr>
          <w:color w:val="000000"/>
        </w:rPr>
        <w:t xml:space="preserve"> - исполнены в сумме 29 572 207,13 руб. на 105,3 % при плане 28 081 994,30 руб.</w:t>
      </w:r>
      <w:r>
        <w:rPr>
          <w:color w:val="FF0000"/>
        </w:rPr>
        <w:t xml:space="preserve"> </w:t>
      </w:r>
      <w:r>
        <w:rPr>
          <w:color w:val="000000"/>
        </w:rPr>
        <w:t xml:space="preserve">Превышение прогнозного показателя произошло за счет поступления </w:t>
      </w:r>
      <w:r>
        <w:rPr>
          <w:color w:val="000000"/>
        </w:rPr>
        <w:lastRenderedPageBreak/>
        <w:t>взысканной, по ре</w:t>
      </w:r>
      <w:r>
        <w:rPr>
          <w:color w:val="000000"/>
        </w:rPr>
        <w:t xml:space="preserve">зультатам претензионно-исковой работы, задолженности по договорам аренды имущества. </w:t>
      </w:r>
    </w:p>
    <w:p w:rsidR="00710D60" w:rsidRDefault="009D350C">
      <w:pPr>
        <w:ind w:firstLine="851"/>
        <w:jc w:val="both"/>
        <w:rPr>
          <w:color w:val="000000"/>
        </w:rPr>
      </w:pPr>
      <w:r>
        <w:rPr>
          <w:b/>
          <w:bCs/>
          <w:color w:val="000000"/>
        </w:rPr>
        <w:t>Платежи при пользовании природными ресурсами</w:t>
      </w:r>
      <w:r>
        <w:rPr>
          <w:color w:val="000000"/>
        </w:rPr>
        <w:t xml:space="preserve"> – исполнены в сумме 7 435 335,63 руб. на 100,2 % при плане 7 423 795,13 руб. Перевыполнение объясняется погашением плательщико</w:t>
      </w:r>
      <w:r>
        <w:rPr>
          <w:color w:val="000000"/>
        </w:rPr>
        <w:t xml:space="preserve">м задолженности прошлых лет по плате за негативное воздействие на окружающую среду. </w:t>
      </w:r>
    </w:p>
    <w:p w:rsidR="00710D60" w:rsidRDefault="009D350C">
      <w:pPr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Доходы от оказания платных услуг и компенсации затрат государства</w:t>
      </w:r>
      <w:r>
        <w:rPr>
          <w:color w:val="000000"/>
        </w:rPr>
        <w:t xml:space="preserve"> – исполнены в сумме 7 537 236,14 руб. или 100,0 % при плане 7 536 056,76 руб.</w:t>
      </w:r>
    </w:p>
    <w:p w:rsidR="00710D60" w:rsidRDefault="009D350C">
      <w:pPr>
        <w:ind w:firstLine="720"/>
        <w:jc w:val="both"/>
        <w:rPr>
          <w:color w:val="FF0000"/>
        </w:rPr>
      </w:pPr>
      <w:r>
        <w:rPr>
          <w:b/>
          <w:bCs/>
          <w:color w:val="000000"/>
        </w:rPr>
        <w:t xml:space="preserve">Доходы от продажи материальных и нематериальных активов </w:t>
      </w:r>
      <w:r>
        <w:rPr>
          <w:color w:val="000000"/>
        </w:rPr>
        <w:t>– исполнены в сумме 71 184 207,79 руб. на 102,4 % при плане 69 547 407,01 руб. Перевыполнение объясняется незапланированной продажей земельных участков в связи с обращениями собственников зданий и соо</w:t>
      </w:r>
      <w:r>
        <w:rPr>
          <w:color w:val="000000"/>
        </w:rPr>
        <w:t>ружений, расположенных на данных земельных участках и реализацией имущества с применением повторной процедуры торгов, посредством продажи через аукцион (увеличением начальной цены имущества), а также незапланированными поступлениями от граждан по проданным</w:t>
      </w:r>
      <w:r>
        <w:rPr>
          <w:color w:val="000000"/>
        </w:rPr>
        <w:t xml:space="preserve"> в рассрочку квартирам, с целью досрочного погашения обязательств по договорам купли продажи квартир. 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Штрафы санкции, возмещение ущерба</w:t>
      </w:r>
      <w:r>
        <w:rPr>
          <w:color w:val="000000"/>
        </w:rPr>
        <w:t xml:space="preserve"> – исполнены в сумме 3 601 290,13 руб. на 153,1 % при плане 2 352 276,40 руб. Перевыполнение объясняется поступлением в </w:t>
      </w:r>
      <w:r>
        <w:rPr>
          <w:color w:val="000000"/>
        </w:rPr>
        <w:t>бюджет незапланированных средств в виде административных штрафов, установленных Кодексом Российской Федерации об административных правонарушениях.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Прочие неналоговые доходы</w:t>
      </w:r>
      <w:r>
        <w:rPr>
          <w:color w:val="000000"/>
        </w:rPr>
        <w:t xml:space="preserve"> - исполнены в сумме 32 714,13 руб. на 54,5 % при плане 60 000,00 руб. Невыполнение </w:t>
      </w:r>
      <w:r>
        <w:rPr>
          <w:color w:val="000000"/>
        </w:rPr>
        <w:t>поясняется поступлением в конце декабря 2023 года в бюджет района денежных средств от физического лица (арендатора) по договору аренды земельного участка по неверным реквизитам и отсутствием у главного администратора доходов бюджета района (Комитета муници</w:t>
      </w:r>
      <w:r>
        <w:rPr>
          <w:color w:val="000000"/>
        </w:rPr>
        <w:t>пальной собственности администрации Белоярского района) возможности проведения операции по уточнению платежа в связи с окончанием финансового года.</w:t>
      </w:r>
    </w:p>
    <w:p w:rsidR="00710D60" w:rsidRDefault="00710D60">
      <w:pPr>
        <w:jc w:val="center"/>
        <w:rPr>
          <w:b/>
          <w:bCs/>
        </w:rPr>
      </w:pPr>
    </w:p>
    <w:p w:rsidR="00710D60" w:rsidRDefault="009D350C">
      <w:pPr>
        <w:jc w:val="center"/>
        <w:rPr>
          <w:b/>
          <w:bCs/>
        </w:rPr>
      </w:pPr>
      <w:r>
        <w:rPr>
          <w:b/>
          <w:bCs/>
        </w:rPr>
        <w:t>Безвозмездные поступления</w:t>
      </w:r>
    </w:p>
    <w:p w:rsidR="00710D60" w:rsidRDefault="00710D60">
      <w:pPr>
        <w:jc w:val="center"/>
        <w:rPr>
          <w:b/>
          <w:bCs/>
        </w:rPr>
      </w:pPr>
    </w:p>
    <w:p w:rsidR="00710D60" w:rsidRDefault="009D350C">
      <w:pPr>
        <w:ind w:firstLine="723"/>
        <w:jc w:val="both"/>
        <w:rPr>
          <w:color w:val="000000"/>
        </w:rPr>
      </w:pPr>
      <w:r>
        <w:rPr>
          <w:b/>
          <w:bCs/>
          <w:color w:val="000000"/>
        </w:rPr>
        <w:t xml:space="preserve">Безвозмездные поступления </w:t>
      </w:r>
      <w:r>
        <w:rPr>
          <w:color w:val="000000"/>
        </w:rPr>
        <w:t>– исполнены в сумме 5 290 644 217,76 руб. на 99,7 % пр</w:t>
      </w:r>
      <w:r>
        <w:rPr>
          <w:color w:val="000000"/>
        </w:rPr>
        <w:t>и плане 5 308 873 521,88 руб., в том числе: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color w:val="000000"/>
        </w:rPr>
        <w:t>- безвозмездные поступления от других бюджетов бюджетной системы Российской Федерации – исполнены в сумме 5 234 847 734,27 руб. на 99,7 % при плане 5 253 077 038,39 руб.;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color w:val="000000"/>
        </w:rPr>
        <w:t>- безвозмездные поступления от государств</w:t>
      </w:r>
      <w:r>
        <w:rPr>
          <w:color w:val="000000"/>
        </w:rPr>
        <w:t>енных (муниципальных) организаций - исполнены на 100,0 % при плане в сумме 900 000,00 руб.;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безвозмездные поступления от негосударственных организаций поступили в сумме 20 696 544,00 руб. 100 % к плановым показателям; 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прочие безвозмездные поступления </w:t>
      </w:r>
      <w:r>
        <w:rPr>
          <w:color w:val="000000"/>
        </w:rPr>
        <w:t>– исполнены на 100,0 % при плане в сумме 35 000 000,00 руб.;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color w:val="000000"/>
        </w:rPr>
        <w:t>- возврат остатков субсидий и субвенций прошлых лет – исполнен на 100,0 % при плане в сумме (минус) 800 060,51 руб.</w:t>
      </w:r>
    </w:p>
    <w:p w:rsidR="00710D60" w:rsidRDefault="009D350C">
      <w:pPr>
        <w:ind w:firstLine="720"/>
        <w:jc w:val="both"/>
        <w:rPr>
          <w:color w:val="000000"/>
        </w:rPr>
      </w:pPr>
      <w:r>
        <w:rPr>
          <w:color w:val="000000"/>
        </w:rPr>
        <w:t>Удельный вес безвозмездных поступлений в общем объеме доходов бюджета района со</w:t>
      </w:r>
      <w:r>
        <w:rPr>
          <w:color w:val="000000"/>
        </w:rPr>
        <w:t>ставляет 83,5 %. Структура безвозмездных поступлений бюджета района и процент исполнении безвозмездных поступлений представлена ниже на таблице 4.</w:t>
      </w:r>
    </w:p>
    <w:p w:rsidR="00710D60" w:rsidRDefault="009D350C">
      <w:pPr>
        <w:jc w:val="right"/>
        <w:rPr>
          <w:b/>
          <w:bCs/>
        </w:rPr>
      </w:pPr>
      <w:r>
        <w:rPr>
          <w:b/>
          <w:bCs/>
        </w:rPr>
        <w:t>Таблица 4</w:t>
      </w:r>
    </w:p>
    <w:p w:rsidR="00710D60" w:rsidRDefault="009D350C">
      <w:pPr>
        <w:jc w:val="center"/>
        <w:rPr>
          <w:b/>
          <w:bCs/>
        </w:rPr>
      </w:pPr>
      <w:r>
        <w:rPr>
          <w:b/>
          <w:bCs/>
        </w:rPr>
        <w:t xml:space="preserve">Исполнение по безвозмездным поступлениям бюджета района за 2024 год </w:t>
      </w:r>
    </w:p>
    <w:p w:rsidR="00710D60" w:rsidRDefault="00710D60">
      <w:pPr>
        <w:ind w:firstLine="720"/>
        <w:jc w:val="both"/>
        <w:rPr>
          <w:color w:val="000000"/>
        </w:rPr>
      </w:pPr>
    </w:p>
    <w:tbl>
      <w:tblPr>
        <w:tblpPr w:leftFromText="180" w:rightFromText="180" w:vertAnchor="text" w:horzAnchor="page" w:tblpX="1147" w:tblpY="152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67"/>
        <w:gridCol w:w="1559"/>
        <w:gridCol w:w="1559"/>
        <w:gridCol w:w="1559"/>
        <w:gridCol w:w="1418"/>
        <w:gridCol w:w="1417"/>
      </w:tblGrid>
      <w:tr w:rsidR="00710D60">
        <w:trPr>
          <w:trHeight w:val="493"/>
          <w:tblHeader/>
        </w:trPr>
        <w:tc>
          <w:tcPr>
            <w:tcW w:w="2167" w:type="dxa"/>
            <w:tcBorders>
              <w:top w:val="single" w:sz="4" w:space="0" w:color="auto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ind w:left="-40" w:firstLine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 2023 </w:t>
            </w:r>
            <w:r>
              <w:rPr>
                <w:b/>
                <w:bCs/>
                <w:sz w:val="20"/>
                <w:szCs w:val="20"/>
              </w:rPr>
              <w:t>год,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Уточенный план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2024 год, руб.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2024 год,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Удельный вес в общем объёме доходов на 2024 год,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 xml:space="preserve">Процент исполнения к уточненному </w:t>
            </w:r>
          </w:p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плану на 2024 год, %</w:t>
            </w:r>
          </w:p>
        </w:tc>
      </w:tr>
      <w:tr w:rsidR="00710D60">
        <w:trPr>
          <w:trHeight w:val="493"/>
        </w:trPr>
        <w:tc>
          <w:tcPr>
            <w:tcW w:w="2167" w:type="dxa"/>
            <w:tcBorders>
              <w:top w:val="single" w:sz="4" w:space="0" w:color="auto"/>
              <w:left w:val="single" w:sz="6" w:space="0" w:color="000000"/>
              <w:bottom w:val="none" w:sz="4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ind w:left="-40" w:firstLine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поступления от других </w:t>
            </w:r>
            <w:r>
              <w:rPr>
                <w:sz w:val="20"/>
                <w:szCs w:val="20"/>
              </w:rPr>
              <w:lastRenderedPageBreak/>
              <w:t>бюджетов бюджетной системы РФ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3 987 707 771,23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5 253 077 038,39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5 234 847 734,27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99,7</w:t>
            </w:r>
          </w:p>
        </w:tc>
      </w:tr>
      <w:tr w:rsidR="00710D60">
        <w:trPr>
          <w:trHeight w:val="493"/>
        </w:trPr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Безвозмездные поступления от организаций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56 927 944,00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56 596 544,00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56 596 544,00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10D60"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 прошлых лет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- 12 401 085,97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-800 060,51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- 800 060,51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710D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10D60"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4 032 234 629,26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5 308 873 521,88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5 290 644 217,76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99,7</w:t>
            </w:r>
          </w:p>
        </w:tc>
      </w:tr>
    </w:tbl>
    <w:p w:rsidR="00710D60" w:rsidRDefault="00710D60"/>
    <w:p w:rsidR="00710D60" w:rsidRDefault="009D350C">
      <w:pPr>
        <w:jc w:val="center"/>
        <w:rPr>
          <w:b/>
          <w:color w:val="000000"/>
        </w:rPr>
      </w:pPr>
      <w:r>
        <w:rPr>
          <w:b/>
          <w:color w:val="000000"/>
        </w:rPr>
        <w:t>Исполнение по расходам</w:t>
      </w:r>
    </w:p>
    <w:p w:rsidR="00710D60" w:rsidRDefault="009D350C">
      <w:pPr>
        <w:jc w:val="center"/>
        <w:rPr>
          <w:b/>
          <w:color w:val="000000"/>
        </w:rPr>
      </w:pPr>
      <w:r>
        <w:rPr>
          <w:b/>
          <w:color w:val="000000"/>
        </w:rPr>
        <w:t>бюджета Белоярского района за 2024 год</w:t>
      </w:r>
    </w:p>
    <w:p w:rsidR="00710D60" w:rsidRDefault="00710D60">
      <w:pPr>
        <w:ind w:firstLine="709"/>
        <w:jc w:val="center"/>
        <w:rPr>
          <w:b/>
          <w:color w:val="000000"/>
        </w:rPr>
      </w:pPr>
    </w:p>
    <w:p w:rsidR="00710D60" w:rsidRDefault="009D350C">
      <w:pPr>
        <w:ind w:firstLine="720"/>
        <w:jc w:val="both"/>
      </w:pPr>
      <w:r>
        <w:t xml:space="preserve">Расходы бюджета района исполнены в сумме </w:t>
      </w:r>
      <w:r>
        <w:rPr>
          <w:b/>
          <w:bCs/>
        </w:rPr>
        <w:t>6 475 841 488,89</w:t>
      </w:r>
      <w:r>
        <w:rPr>
          <w:b/>
          <w:color w:val="000000"/>
        </w:rPr>
        <w:t xml:space="preserve"> руб.</w:t>
      </w:r>
      <w:r>
        <w:rPr>
          <w:color w:val="000000"/>
        </w:rPr>
        <w:t xml:space="preserve"> или на </w:t>
      </w:r>
      <w:r>
        <w:rPr>
          <w:b/>
          <w:color w:val="000000"/>
        </w:rPr>
        <w:t>98,2 %</w:t>
      </w:r>
      <w:r>
        <w:rPr>
          <w:color w:val="000000"/>
        </w:rPr>
        <w:t xml:space="preserve"> к уточнённому плану по расходам в сумме </w:t>
      </w:r>
      <w:r>
        <w:rPr>
          <w:b/>
          <w:bCs/>
          <w:color w:val="000000"/>
        </w:rPr>
        <w:t>6 595 176 735,56</w:t>
      </w:r>
      <w:r>
        <w:rPr>
          <w:b/>
          <w:color w:val="000000"/>
        </w:rPr>
        <w:t xml:space="preserve"> руб</w:t>
      </w:r>
      <w:r>
        <w:rPr>
          <w:color w:val="000000"/>
        </w:rPr>
        <w:t>.</w:t>
      </w:r>
    </w:p>
    <w:p w:rsidR="00710D60" w:rsidRDefault="009D350C">
      <w:pPr>
        <w:ind w:firstLine="708"/>
        <w:jc w:val="both"/>
      </w:pPr>
      <w:r>
        <w:rPr>
          <w:color w:val="000000"/>
        </w:rPr>
        <w:t xml:space="preserve">Исполнение расходной части бюджета осуществлялось полностью в программном формате. </w:t>
      </w:r>
      <w:r>
        <w:t xml:space="preserve">На реализацию 20 муниципальных программ района при первоначальном утверждении бюджета было предусмотрено </w:t>
      </w:r>
      <w:r>
        <w:rPr>
          <w:b/>
        </w:rPr>
        <w:t>5 014 003 300,00 руб.</w:t>
      </w:r>
      <w:r>
        <w:t xml:space="preserve">, в ходе исполнения бюджета района расходы увеличены на </w:t>
      </w:r>
      <w:r>
        <w:rPr>
          <w:b/>
        </w:rPr>
        <w:t>1 581 173 435,56 руб.</w:t>
      </w:r>
    </w:p>
    <w:p w:rsidR="00710D60" w:rsidRDefault="00710D60">
      <w:pPr>
        <w:ind w:firstLine="708"/>
        <w:jc w:val="both"/>
      </w:pPr>
    </w:p>
    <w:p w:rsidR="00710D60" w:rsidRDefault="009D350C">
      <w:pPr>
        <w:tabs>
          <w:tab w:val="left" w:pos="720"/>
        </w:tabs>
        <w:jc w:val="both"/>
      </w:pPr>
      <w:r>
        <w:tab/>
        <w:t>Информация об исполнении муниципальных программ района в 2024 году представлена в таблице 5:</w:t>
      </w:r>
    </w:p>
    <w:p w:rsidR="00710D60" w:rsidRDefault="009D350C">
      <w:pPr>
        <w:spacing w:line="360" w:lineRule="auto"/>
        <w:ind w:firstLine="720"/>
        <w:jc w:val="center"/>
        <w:rPr>
          <w:sz w:val="20"/>
        </w:rPr>
      </w:pPr>
      <w:r>
        <w:rPr>
          <w:b/>
          <w:bCs/>
        </w:rPr>
        <w:t>Исполнение муниципальных программ района в 2024 году</w:t>
      </w:r>
    </w:p>
    <w:p w:rsidR="00710D60" w:rsidRDefault="009D350C">
      <w:pPr>
        <w:spacing w:line="360" w:lineRule="auto"/>
        <w:ind w:firstLine="720"/>
        <w:jc w:val="right"/>
        <w:rPr>
          <w:color w:val="000000"/>
          <w:lang w:val="en-US"/>
        </w:rPr>
      </w:pPr>
      <w:r>
        <w:rPr>
          <w:sz w:val="20"/>
        </w:rPr>
        <w:t xml:space="preserve">Таблица </w:t>
      </w:r>
      <w:r>
        <w:rPr>
          <w:sz w:val="20"/>
          <w:lang w:val="en-US"/>
        </w:rPr>
        <w:t>5</w:t>
      </w:r>
    </w:p>
    <w:tbl>
      <w:tblPr>
        <w:tblW w:w="1020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263"/>
        <w:gridCol w:w="1134"/>
        <w:gridCol w:w="1590"/>
        <w:gridCol w:w="1559"/>
        <w:gridCol w:w="1559"/>
        <w:gridCol w:w="860"/>
        <w:gridCol w:w="1235"/>
      </w:tblGrid>
      <w:tr w:rsidR="00710D60">
        <w:trPr>
          <w:trHeight w:val="315"/>
          <w:tblHeader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Наименование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Целевая статья программы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Первоначально утверждённый план на 2024 год, руб.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Уточненный план на 2024 год, руб.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Исполнено за 202</w:t>
            </w:r>
            <w:r>
              <w:rPr>
                <w:bCs/>
                <w:sz w:val="18"/>
                <w:szCs w:val="18"/>
                <w:lang w:val="en-US" w:eastAsia="ru-RU"/>
              </w:rPr>
              <w:t>4</w:t>
            </w:r>
            <w:r>
              <w:rPr>
                <w:bCs/>
                <w:sz w:val="18"/>
                <w:szCs w:val="18"/>
                <w:lang w:eastAsia="ru-RU"/>
              </w:rPr>
              <w:t xml:space="preserve"> год, руб</w:t>
            </w:r>
            <w:r>
              <w:rPr>
                <w:bCs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Удельный вес  в общем объёме расходов на 2024 год, %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18"/>
                <w:szCs w:val="18"/>
                <w:lang w:eastAsia="ru-RU"/>
              </w:rPr>
            </w:pPr>
            <w:r>
              <w:rPr>
                <w:bCs/>
                <w:sz w:val="18"/>
                <w:szCs w:val="18"/>
                <w:lang w:eastAsia="ru-RU"/>
              </w:rPr>
              <w:t>Процент исполнения к уточн. плану на 2024 год</w:t>
            </w:r>
          </w:p>
        </w:tc>
      </w:tr>
      <w:tr w:rsidR="00710D60">
        <w:trPr>
          <w:trHeight w:val="315"/>
          <w:tblHeader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710D60">
        <w:trPr>
          <w:trHeight w:val="121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Муниципальная программа Белоярского района «Развитие малого и среднего  предпринимательства и туризма в Белоярском районе»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01 0 0000000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11 607 000,00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16 107 000,00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16 024 132,95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0,2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99,5</w:t>
            </w:r>
          </w:p>
        </w:tc>
      </w:tr>
      <w:tr w:rsidR="00710D60">
        <w:trPr>
          <w:trHeight w:val="79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образования Белоярского района»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02 0 0000000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2 058 483 100,00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2 199 571 567,25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2 165 586 350,77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33,4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98,5</w:t>
            </w:r>
          </w:p>
        </w:tc>
      </w:tr>
      <w:tr w:rsidR="00710D60">
        <w:trPr>
          <w:trHeight w:val="97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социальной политики на территории  Белоярского района»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03 0 0000000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24 046 600,00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40 926 049,43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40 254 368,43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98,4</w:t>
            </w:r>
          </w:p>
        </w:tc>
      </w:tr>
      <w:tr w:rsidR="00710D60">
        <w:trPr>
          <w:trHeight w:val="80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культуры Белоярского района»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05 0 0000000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389 940 300,00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430 448 013,99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430 248 902,75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6,6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 w:rsidR="00710D60">
        <w:trPr>
          <w:trHeight w:val="27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Муниципальная программа Белоярского района «Развитие физической культуры, спорта и молодежной политики на территории </w:t>
            </w:r>
            <w:r>
              <w:rPr>
                <w:sz w:val="18"/>
                <w:szCs w:val="18"/>
                <w:lang w:eastAsia="ru-RU"/>
              </w:rPr>
              <w:lastRenderedPageBreak/>
              <w:t>Белоярского района»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lastRenderedPageBreak/>
              <w:t>06 0 0000000</w:t>
            </w:r>
          </w:p>
        </w:tc>
        <w:tc>
          <w:tcPr>
            <w:tcW w:w="159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244 352 200,00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253 486 700,51</w:t>
            </w:r>
          </w:p>
        </w:tc>
        <w:tc>
          <w:tcPr>
            <w:tcW w:w="155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253 162 500,34</w:t>
            </w:r>
          </w:p>
        </w:tc>
        <w:tc>
          <w:tcPr>
            <w:tcW w:w="86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3,9</w:t>
            </w:r>
          </w:p>
        </w:tc>
        <w:tc>
          <w:tcPr>
            <w:tcW w:w="123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99,9</w:t>
            </w:r>
          </w:p>
        </w:tc>
      </w:tr>
      <w:tr w:rsidR="00710D60">
        <w:trPr>
          <w:trHeight w:val="132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Муниципальная программа Белоярского района «Повышение эффективности деятельности органов местного самоуправления Белоярского района»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07 0 0000000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329 010 700,00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327 562 774,86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323 502 586,39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5,0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98,8</w:t>
            </w:r>
          </w:p>
        </w:tc>
      </w:tr>
      <w:tr w:rsidR="00710D60">
        <w:trPr>
          <w:trHeight w:val="100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агропромышленного комплекса»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08 0 0000000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26 565 100,00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124 559 287,52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121 023 705,02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1,9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97,2</w:t>
            </w:r>
          </w:p>
        </w:tc>
      </w:tr>
      <w:tr w:rsidR="00710D60">
        <w:trPr>
          <w:trHeight w:val="132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09 0 0000000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1 127 200,00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1 030 880,00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highlight w:val="cyan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1 030 880,00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 w:rsidR="00710D60">
        <w:trPr>
          <w:trHeight w:val="146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«Социально-экономическое развитие коренных малочисленных народов Севера на территории Белоярского района»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10 0 0000000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1 908 800,00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2 137 500,00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1 437 500,00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67,3</w:t>
            </w:r>
          </w:p>
        </w:tc>
      </w:tr>
      <w:tr w:rsidR="00710D60">
        <w:trPr>
          <w:trHeight w:val="28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«Обеспечение доступным и комфортным жильем жителей Белоярского района»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11 0 0000000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263 622 400,00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440 390 492,19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433 317 225,33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6,7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98,4</w:t>
            </w:r>
          </w:p>
        </w:tc>
      </w:tr>
      <w:tr w:rsidR="00710D60">
        <w:trPr>
          <w:trHeight w:val="56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жилищно-коммунального комплекса и повышение энергетической эффективности в Белоярском районе»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12 0 0000000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550 637 200,00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1 674 449 181,20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1 665 258 109,32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25,7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99,5</w:t>
            </w:r>
          </w:p>
        </w:tc>
      </w:tr>
      <w:tr w:rsidR="00710D60">
        <w:trPr>
          <w:trHeight w:val="12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«Профилактика терроризма и  правонарушений в сфере общественного порядка в Белоярском районе»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13 0 0000000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2 259 800,00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2 912 689,80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2 912 689,80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 w:rsidR="00710D60">
        <w:trPr>
          <w:trHeight w:val="187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14 0 0000000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20 885 500,00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21 918 123,63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21 818 603,90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</w:t>
            </w:r>
            <w:r>
              <w:rPr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99,5</w:t>
            </w:r>
          </w:p>
        </w:tc>
      </w:tr>
      <w:tr w:rsidR="00710D60">
        <w:trPr>
          <w:trHeight w:val="27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Муниципальная программа Белоярского района «Охрана </w:t>
            </w:r>
            <w:r>
              <w:rPr>
                <w:sz w:val="18"/>
                <w:szCs w:val="18"/>
                <w:lang w:eastAsia="ru-RU"/>
              </w:rPr>
              <w:lastRenderedPageBreak/>
              <w:t>окружающей среды»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lastRenderedPageBreak/>
              <w:t>15 0 0000000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346 199 500,00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106 954 139,31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103 900 390,26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1,6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97,1</w:t>
            </w:r>
          </w:p>
        </w:tc>
      </w:tr>
      <w:tr w:rsidR="00710D60">
        <w:trPr>
          <w:trHeight w:val="7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Муниципальная программа Белоярского района «Управление муниципальным имуществом»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16 0 0000000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49 317 000,00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101 092 112,32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100 819 831,56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1,6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99,7</w:t>
            </w:r>
          </w:p>
        </w:tc>
      </w:tr>
      <w:tr w:rsidR="00710D60">
        <w:trPr>
          <w:trHeight w:val="6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«Информационное общество»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17 0 0000000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723 100,00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682 175,75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682 175,62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 w:rsidR="00710D60">
        <w:trPr>
          <w:trHeight w:val="6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«Развитие транспортной системы»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18 0 0000000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235 192 400,00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358 101 783,95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356 493 186,73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5,5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99,6</w:t>
            </w:r>
          </w:p>
        </w:tc>
      </w:tr>
      <w:tr w:rsidR="00710D60">
        <w:trPr>
          <w:trHeight w:val="27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«Управление муниципальными финансами в Белоярском районе»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19 0 0000000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423 310 100,00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439 871 584,96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385 785 672,25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6,0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87,7</w:t>
            </w:r>
          </w:p>
        </w:tc>
      </w:tr>
      <w:tr w:rsidR="00710D60">
        <w:trPr>
          <w:trHeight w:val="28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Белоярского района «Укрепление общественного здоровья жителей Белоярского района»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20 0 0000000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15 300,00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15 300,00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15 300,00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100,0</w:t>
            </w:r>
          </w:p>
        </w:tc>
      </w:tr>
      <w:tr w:rsidR="00710D60">
        <w:trPr>
          <w:trHeight w:val="42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Муниципальная программа «Формирование современной городской среды»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21 0 0000000</w:t>
            </w: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34 800 000,00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52 959 378,89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 w:eastAsia="ru-RU"/>
              </w:rPr>
            </w:pPr>
            <w:r>
              <w:rPr>
                <w:color w:val="000000"/>
                <w:sz w:val="18"/>
                <w:szCs w:val="18"/>
                <w:lang w:val="en-US" w:eastAsia="ru-RU"/>
              </w:rPr>
              <w:t>52 567 377,47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0,8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 w:eastAsia="ru-RU"/>
              </w:rPr>
            </w:pPr>
            <w:r>
              <w:rPr>
                <w:sz w:val="18"/>
                <w:szCs w:val="18"/>
                <w:lang w:val="en-US" w:eastAsia="ru-RU"/>
              </w:rPr>
              <w:t>99,3</w:t>
            </w:r>
          </w:p>
        </w:tc>
      </w:tr>
      <w:tr w:rsidR="00710D60">
        <w:trPr>
          <w:trHeight w:val="3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710D60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b/>
                <w:bCs/>
                <w:sz w:val="18"/>
                <w:szCs w:val="18"/>
                <w:lang w:val="en-US" w:eastAsia="ru-RU"/>
              </w:rPr>
              <w:t>5 014 003 300,00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b/>
                <w:bCs/>
                <w:sz w:val="18"/>
                <w:szCs w:val="18"/>
                <w:lang w:val="en-US" w:eastAsia="ru-RU"/>
              </w:rPr>
              <w:t>6 595 176 735,56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b/>
                <w:bCs/>
                <w:sz w:val="18"/>
                <w:szCs w:val="18"/>
                <w:lang w:val="en-US" w:eastAsia="ru-RU"/>
              </w:rPr>
              <w:t>6 475 841 488,89</w:t>
            </w:r>
          </w:p>
        </w:tc>
        <w:tc>
          <w:tcPr>
            <w:tcW w:w="8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b/>
                <w:bCs/>
                <w:sz w:val="18"/>
                <w:szCs w:val="18"/>
                <w:lang w:val="en-US" w:eastAsia="ru-RU"/>
              </w:rPr>
              <w:t>100,0</w:t>
            </w:r>
          </w:p>
        </w:tc>
        <w:tc>
          <w:tcPr>
            <w:tcW w:w="12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98,2</w:t>
            </w:r>
          </w:p>
        </w:tc>
      </w:tr>
    </w:tbl>
    <w:p w:rsidR="00710D60" w:rsidRDefault="00710D60">
      <w:pPr>
        <w:jc w:val="both"/>
        <w:rPr>
          <w:color w:val="000000"/>
          <w:sz w:val="18"/>
          <w:szCs w:val="18"/>
          <w:highlight w:val="cyan"/>
        </w:rPr>
      </w:pPr>
    </w:p>
    <w:p w:rsidR="00710D60" w:rsidRDefault="009D350C">
      <w:pPr>
        <w:ind w:firstLine="708"/>
        <w:jc w:val="both"/>
        <w:rPr>
          <w:color w:val="000000"/>
        </w:rPr>
      </w:pPr>
      <w:r>
        <w:rPr>
          <w:color w:val="000000"/>
        </w:rPr>
        <w:t>Из 20 муниципальных программ района с результатом 100,0 % исполнены пять муниципальных программы, по тринадцати муниципальным программам исполнение по итогам 2024 года составило более 95,0 %,</w:t>
      </w:r>
    </w:p>
    <w:p w:rsidR="00710D60" w:rsidRDefault="009D350C">
      <w:pPr>
        <w:jc w:val="both"/>
      </w:pPr>
      <w:r>
        <w:rPr>
          <w:color w:val="000000"/>
        </w:rPr>
        <w:tab/>
        <w:t>Наибольший удельный вес (33,4%) приходится на реализацию муници</w:t>
      </w:r>
      <w:r>
        <w:rPr>
          <w:color w:val="000000"/>
        </w:rPr>
        <w:t xml:space="preserve">пальной </w:t>
      </w:r>
      <w:r>
        <w:t>программы Белоярского района «Развитие образования Белоярского района», исполнение по которой составило 98,5 %.</w:t>
      </w:r>
    </w:p>
    <w:p w:rsidR="00710D60" w:rsidRDefault="009D350C">
      <w:pPr>
        <w:ind w:firstLine="720"/>
        <w:jc w:val="both"/>
      </w:pPr>
      <w:r>
        <w:t>По результатам оценки за отчетный год, проводимой администрацией Белоярского района, все программы признаны эффективными.</w:t>
      </w:r>
    </w:p>
    <w:p w:rsidR="00710D60" w:rsidRDefault="009D350C">
      <w:pPr>
        <w:ind w:firstLine="720"/>
        <w:jc w:val="both"/>
      </w:pPr>
      <w:r>
        <w:t>В муниципальны</w:t>
      </w:r>
      <w:r>
        <w:t>е программы района интегрированы 4 национальных проекта</w:t>
      </w:r>
      <w:r>
        <w:br/>
        <w:t>(в том числе 6 региональных проектов), доля которых в общем объеме расходов составила 19,3 %. Объём расходов на реализацию национальных проектов представлен ниже в таблице 6:</w:t>
      </w:r>
    </w:p>
    <w:p w:rsidR="00710D60" w:rsidRDefault="00710D60">
      <w:pPr>
        <w:ind w:firstLine="720"/>
        <w:jc w:val="both"/>
        <w:rPr>
          <w:highlight w:val="cyan"/>
        </w:rPr>
      </w:pPr>
    </w:p>
    <w:p w:rsidR="00710D60" w:rsidRDefault="009D350C">
      <w:pPr>
        <w:tabs>
          <w:tab w:val="left" w:pos="470"/>
        </w:tabs>
        <w:jc w:val="center"/>
        <w:rPr>
          <w:b/>
          <w:bCs/>
        </w:rPr>
      </w:pPr>
      <w:r>
        <w:rPr>
          <w:b/>
          <w:bCs/>
        </w:rPr>
        <w:t>Объём расходов на реализ</w:t>
      </w:r>
      <w:r>
        <w:rPr>
          <w:b/>
          <w:bCs/>
        </w:rPr>
        <w:t xml:space="preserve">ацию национальных проектов </w:t>
      </w:r>
    </w:p>
    <w:p w:rsidR="00710D60" w:rsidRDefault="009D350C">
      <w:pPr>
        <w:tabs>
          <w:tab w:val="left" w:pos="470"/>
        </w:tabs>
        <w:ind w:right="562"/>
        <w:jc w:val="right"/>
      </w:pPr>
      <w:r>
        <w:rPr>
          <w:sz w:val="20"/>
          <w:szCs w:val="20"/>
        </w:rPr>
        <w:t>Таблица 6</w:t>
      </w:r>
    </w:p>
    <w:tbl>
      <w:tblPr>
        <w:tblW w:w="0" w:type="auto"/>
        <w:tblInd w:w="-145" w:type="dxa"/>
        <w:tblLayout w:type="fixed"/>
        <w:tblLook w:val="04A0" w:firstRow="1" w:lastRow="0" w:firstColumn="1" w:lastColumn="0" w:noHBand="0" w:noVBand="1"/>
      </w:tblPr>
      <w:tblGrid>
        <w:gridCol w:w="534"/>
        <w:gridCol w:w="3263"/>
        <w:gridCol w:w="1559"/>
        <w:gridCol w:w="1701"/>
        <w:gridCol w:w="1630"/>
        <w:gridCol w:w="1350"/>
      </w:tblGrid>
      <w:tr w:rsidR="00710D60">
        <w:trPr>
          <w:trHeight w:val="689"/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национального проекта Российской Федерации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</w:pPr>
            <w:r>
              <w:rPr>
                <w:b/>
                <w:bCs/>
                <w:sz w:val="18"/>
                <w:lang w:eastAsia="ru-RU"/>
              </w:rPr>
              <w:t>Исполнено за 202</w:t>
            </w:r>
            <w:r>
              <w:rPr>
                <w:b/>
                <w:bCs/>
                <w:sz w:val="18"/>
                <w:lang w:val="en-US" w:eastAsia="ru-RU"/>
              </w:rPr>
              <w:t>3</w:t>
            </w:r>
            <w:r>
              <w:rPr>
                <w:b/>
                <w:bCs/>
                <w:sz w:val="18"/>
                <w:lang w:eastAsia="ru-RU"/>
              </w:rPr>
              <w:t xml:space="preserve"> год, руб</w:t>
            </w:r>
            <w:r>
              <w:rPr>
                <w:b/>
                <w:bCs/>
                <w:sz w:val="18"/>
                <w:lang w:val="en-US"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</w:pPr>
            <w:r>
              <w:rPr>
                <w:b/>
                <w:bCs/>
                <w:sz w:val="18"/>
                <w:lang w:eastAsia="ru-RU"/>
              </w:rPr>
              <w:t>Уточненный план на 2024 год, руб.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</w:pPr>
            <w:r>
              <w:rPr>
                <w:b/>
                <w:bCs/>
                <w:sz w:val="18"/>
                <w:lang w:eastAsia="ru-RU"/>
              </w:rPr>
              <w:t>Исполнено за 202</w:t>
            </w:r>
            <w:r>
              <w:rPr>
                <w:b/>
                <w:bCs/>
                <w:sz w:val="18"/>
                <w:lang w:val="en-US" w:eastAsia="ru-RU"/>
              </w:rPr>
              <w:t>4</w:t>
            </w:r>
            <w:r>
              <w:rPr>
                <w:b/>
                <w:bCs/>
                <w:sz w:val="18"/>
                <w:lang w:eastAsia="ru-RU"/>
              </w:rPr>
              <w:t xml:space="preserve"> год, руб</w:t>
            </w:r>
            <w:r>
              <w:rPr>
                <w:b/>
                <w:bCs/>
                <w:sz w:val="18"/>
                <w:lang w:val="en-US" w:eastAsia="ru-RU"/>
              </w:rPr>
              <w:t>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18"/>
                <w:szCs w:val="22"/>
                <w:lang w:eastAsia="ru-RU"/>
              </w:rPr>
              <w:t>% исполнения к уточненному плану на год</w:t>
            </w:r>
          </w:p>
        </w:tc>
      </w:tr>
      <w:tr w:rsidR="00710D60">
        <w:trPr>
          <w:trHeight w:val="201"/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lang w:eastAsia="ru-RU"/>
              </w:rPr>
            </w:pPr>
            <w:r>
              <w:rPr>
                <w:b/>
                <w:bCs/>
                <w:sz w:val="18"/>
                <w:lang w:eastAsia="ru-RU"/>
              </w:rPr>
              <w:t>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lang w:eastAsia="ru-RU"/>
              </w:rPr>
            </w:pPr>
            <w:r>
              <w:rPr>
                <w:b/>
                <w:bCs/>
                <w:sz w:val="18"/>
                <w:lang w:eastAsia="ru-RU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22"/>
                <w:lang w:eastAsia="ru-RU"/>
              </w:rPr>
            </w:pPr>
            <w:r>
              <w:rPr>
                <w:b/>
                <w:bCs/>
                <w:sz w:val="18"/>
                <w:szCs w:val="22"/>
                <w:lang w:eastAsia="ru-RU"/>
              </w:rPr>
              <w:t>6</w:t>
            </w:r>
          </w:p>
        </w:tc>
      </w:tr>
      <w:tr w:rsidR="00710D60">
        <w:trPr>
          <w:trHeight w:val="20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«Культура» («А»)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710D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15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789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473,68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15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789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473,68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22"/>
                <w:lang w:val="en-US" w:eastAsia="ru-RU"/>
              </w:rPr>
            </w:pPr>
            <w:r>
              <w:rPr>
                <w:b/>
                <w:bCs/>
                <w:sz w:val="18"/>
                <w:szCs w:val="22"/>
                <w:lang w:val="en-US" w:eastAsia="ru-RU"/>
              </w:rPr>
              <w:t>100,0</w:t>
            </w:r>
          </w:p>
        </w:tc>
      </w:tr>
      <w:tr w:rsidR="00710D60">
        <w:trPr>
          <w:trHeight w:val="201"/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bidi="ar"/>
              </w:rPr>
              <w:t>Региональный проект «Культурная среда» («А1»)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710D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15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789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473,68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15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789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473,68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22"/>
                <w:lang w:val="en-US" w:eastAsia="ru-RU"/>
              </w:rPr>
            </w:pPr>
            <w:r>
              <w:rPr>
                <w:sz w:val="18"/>
                <w:szCs w:val="22"/>
                <w:lang w:val="en-US" w:eastAsia="ru-RU"/>
              </w:rPr>
              <w:t>100,0</w:t>
            </w:r>
          </w:p>
        </w:tc>
      </w:tr>
      <w:tr w:rsidR="00710D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НП «Жилье и городская среда» </w:t>
            </w:r>
            <w:r>
              <w:rPr>
                <w:b/>
                <w:sz w:val="20"/>
                <w:szCs w:val="20"/>
              </w:rPr>
              <w:lastRenderedPageBreak/>
              <w:t>(«</w:t>
            </w:r>
            <w:r>
              <w:rPr>
                <w:b/>
                <w:sz w:val="20"/>
                <w:szCs w:val="20"/>
                <w:lang w:val="en-US"/>
              </w:rPr>
              <w:t>F</w:t>
            </w:r>
            <w:r>
              <w:rPr>
                <w:b/>
                <w:sz w:val="20"/>
                <w:szCs w:val="20"/>
              </w:rPr>
              <w:t>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lastRenderedPageBreak/>
              <w:t>693 556 944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1 227 651 062,64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1 227 651 062,64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710D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Региональный проект «Формирование комфортной городской среды»</w:t>
            </w:r>
            <w:r>
              <w:rPr>
                <w:sz w:val="20"/>
                <w:szCs w:val="20"/>
              </w:rPr>
              <w:t xml:space="preserve"> («</w:t>
            </w:r>
            <w:r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</w:rPr>
              <w:t>2»)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252 526 239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25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416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536,32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25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416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536,32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710D60">
        <w:trPr>
          <w:trHeight w:val="48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  <w:lang w:val="en-US"/>
              </w:rPr>
              <w:t>.</w:t>
            </w: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Региональный проект «Чистая вода» («</w:t>
            </w:r>
            <w:r>
              <w:rPr>
                <w:bCs/>
                <w:sz w:val="20"/>
                <w:szCs w:val="20"/>
                <w:lang w:val="en-US"/>
              </w:rPr>
              <w:t>F</w:t>
            </w:r>
            <w:r>
              <w:rPr>
                <w:bCs/>
                <w:sz w:val="20"/>
                <w:szCs w:val="20"/>
              </w:rPr>
              <w:t>5»)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415 184 727</w:t>
            </w:r>
            <w:r>
              <w:rPr>
                <w:bCs/>
                <w:color w:val="000000"/>
                <w:sz w:val="20"/>
                <w:szCs w:val="20"/>
              </w:rPr>
              <w:t>,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202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234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526,32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202 234 526,32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710D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«Образование»</w:t>
            </w:r>
            <w:r>
              <w:rPr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  <w:lang w:val="en-US"/>
              </w:rPr>
              <w:t>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1 494 198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473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400,00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472</w:t>
            </w:r>
            <w:r>
              <w:rPr>
                <w:b/>
                <w:bCs/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 w:bidi="ar"/>
              </w:rPr>
              <w:t>995,94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710D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ЕВ</w:t>
            </w:r>
            <w:r>
              <w:rPr>
                <w:sz w:val="20"/>
                <w:szCs w:val="20"/>
              </w:rPr>
              <w:t>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1 494 198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473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400,00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472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995,94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10D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«Малое и среднее предпринимательство и поддержка индивидуальной предпринимательской инициативы» («</w:t>
            </w:r>
            <w:r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</w:rPr>
              <w:t>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3 260 984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3 522 500,00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3 440 237,60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</w:tr>
      <w:tr w:rsidR="00710D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  <w:p w:rsidR="00710D60" w:rsidRDefault="009D350C">
            <w:pPr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4»)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237 300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266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500,00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184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237,60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69,1</w:t>
            </w:r>
          </w:p>
        </w:tc>
      </w:tr>
      <w:tr w:rsidR="00710D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  <w:p w:rsidR="00710D60" w:rsidRDefault="009D350C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(«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5»)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3 023 684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3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256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000,00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bidi="ar"/>
              </w:rPr>
              <w:t>3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256</w:t>
            </w:r>
            <w:r>
              <w:rPr>
                <w:color w:val="000000"/>
                <w:sz w:val="20"/>
                <w:szCs w:val="20"/>
                <w:lang w:bidi="ar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 w:bidi="ar"/>
              </w:rPr>
              <w:t>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710D60">
        <w:tc>
          <w:tcPr>
            <w:tcW w:w="3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698 312 127</w:t>
            </w:r>
            <w:r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1 248 436 436,32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1 248 353 769,86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</w:tbl>
    <w:p w:rsidR="00710D60" w:rsidRDefault="00710D60">
      <w:pPr>
        <w:ind w:firstLine="709"/>
        <w:jc w:val="both"/>
        <w:rPr>
          <w:highlight w:val="cyan"/>
        </w:rPr>
      </w:pPr>
    </w:p>
    <w:p w:rsidR="00710D60" w:rsidRDefault="009D350C">
      <w:pPr>
        <w:ind w:firstLine="480"/>
        <w:jc w:val="both"/>
        <w:rPr>
          <w:highlight w:val="cyan"/>
          <w:lang w:eastAsia="ru-RU"/>
        </w:rPr>
      </w:pPr>
      <w:r>
        <w:t xml:space="preserve">В отчётном году наибольший удельный вес из общего объема расходов региональных проектов приходится на региональный проект </w:t>
      </w:r>
      <w:r>
        <w:rPr>
          <w:lang w:eastAsia="ru-RU"/>
        </w:rPr>
        <w:t>«Чистая вода» объект «Обеспечение водоснабжением г. Белоярский» 96,3 %. На региональные проекты «Формирование комфортной городской сре</w:t>
      </w:r>
      <w:r>
        <w:rPr>
          <w:lang w:eastAsia="ru-RU"/>
        </w:rPr>
        <w:t>ды» 2,0 %, «Культурная среда» 1,3 %,</w:t>
      </w:r>
      <w:r>
        <w:rPr>
          <w:sz w:val="20"/>
          <w:szCs w:val="20"/>
          <w:lang w:eastAsia="ru-RU"/>
        </w:rPr>
        <w:t xml:space="preserve"> </w:t>
      </w:r>
      <w:r>
        <w:rPr>
          <w:lang w:eastAsia="ru-RU"/>
        </w:rPr>
        <w:t xml:space="preserve">в сфере образования и поддержки предпринимательства приходится 0,1 % и 0,3 % соответственно. </w:t>
      </w:r>
    </w:p>
    <w:p w:rsidR="00710D60" w:rsidRDefault="00710D60">
      <w:pPr>
        <w:ind w:firstLine="708"/>
        <w:jc w:val="both"/>
      </w:pPr>
    </w:p>
    <w:p w:rsidR="00710D60" w:rsidRDefault="009D350C">
      <w:pPr>
        <w:ind w:firstLine="708"/>
        <w:jc w:val="both"/>
      </w:pPr>
      <w:r>
        <w:t>Исполнение бюджета района по расходам в разрезе разделов бюджетной классификации представлено в таблице 7:</w:t>
      </w:r>
    </w:p>
    <w:p w:rsidR="00710D60" w:rsidRDefault="009D350C">
      <w:pPr>
        <w:ind w:firstLine="708"/>
        <w:jc w:val="center"/>
        <w:rPr>
          <w:b/>
          <w:bCs/>
        </w:rPr>
      </w:pPr>
      <w:r>
        <w:rPr>
          <w:b/>
          <w:bCs/>
        </w:rPr>
        <w:t>Исполнение бюджет</w:t>
      </w:r>
      <w:r>
        <w:rPr>
          <w:b/>
          <w:bCs/>
        </w:rPr>
        <w:t>а района по расходам в разрезе разделов бюджетной классификации</w:t>
      </w:r>
    </w:p>
    <w:p w:rsidR="00710D60" w:rsidRDefault="009D350C">
      <w:pPr>
        <w:spacing w:line="276" w:lineRule="auto"/>
        <w:ind w:firstLine="708"/>
        <w:jc w:val="right"/>
        <w:rPr>
          <w:color w:val="000000"/>
          <w:sz w:val="20"/>
          <w:lang w:val="en-US"/>
        </w:rPr>
      </w:pPr>
      <w:r>
        <w:rPr>
          <w:bCs/>
          <w:color w:val="000000"/>
          <w:sz w:val="20"/>
        </w:rPr>
        <w:t xml:space="preserve">    Т</w:t>
      </w:r>
      <w:r>
        <w:rPr>
          <w:color w:val="000000"/>
          <w:sz w:val="20"/>
        </w:rPr>
        <w:t>аблица 7</w:t>
      </w:r>
    </w:p>
    <w:tbl>
      <w:tblPr>
        <w:tblW w:w="992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05"/>
        <w:gridCol w:w="429"/>
        <w:gridCol w:w="429"/>
        <w:gridCol w:w="1632"/>
        <w:gridCol w:w="1701"/>
        <w:gridCol w:w="1701"/>
        <w:gridCol w:w="850"/>
        <w:gridCol w:w="781"/>
      </w:tblGrid>
      <w:tr w:rsidR="00710D60">
        <w:trPr>
          <w:trHeight w:val="342"/>
          <w:tblHeader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Наименование разделов расходов</w:t>
            </w:r>
          </w:p>
        </w:tc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10D60" w:rsidRDefault="009D350C">
            <w:pPr>
              <w:ind w:left="113" w:right="113"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Раздел</w:t>
            </w:r>
          </w:p>
        </w:tc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10D60" w:rsidRDefault="009D350C">
            <w:pPr>
              <w:ind w:left="113" w:right="113"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Подраздел</w:t>
            </w:r>
          </w:p>
        </w:tc>
        <w:tc>
          <w:tcPr>
            <w:tcW w:w="1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Исполнено за 202</w:t>
            </w:r>
            <w:r>
              <w:rPr>
                <w:b/>
                <w:bCs/>
                <w:color w:val="000000"/>
                <w:sz w:val="18"/>
                <w:szCs w:val="22"/>
                <w:lang w:val="en-US" w:eastAsia="ru-RU"/>
              </w:rPr>
              <w:t>3</w:t>
            </w: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 xml:space="preserve"> год, руб</w:t>
            </w:r>
            <w:r>
              <w:rPr>
                <w:b/>
                <w:bCs/>
                <w:color w:val="000000"/>
                <w:sz w:val="18"/>
                <w:szCs w:val="22"/>
                <w:lang w:val="en-US"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Уточненный план на 2024 год, руб.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Исполнено за 202</w:t>
            </w:r>
            <w:r>
              <w:rPr>
                <w:b/>
                <w:bCs/>
                <w:color w:val="000000"/>
                <w:sz w:val="18"/>
                <w:szCs w:val="22"/>
                <w:lang w:val="en-US" w:eastAsia="ru-RU"/>
              </w:rPr>
              <w:t>4</w:t>
            </w: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 xml:space="preserve"> год, руб</w:t>
            </w:r>
            <w:r>
              <w:rPr>
                <w:b/>
                <w:bCs/>
                <w:color w:val="000000"/>
                <w:sz w:val="18"/>
                <w:szCs w:val="22"/>
                <w:lang w:val="en-US"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>% исполнения к уточненному плану на 2024 год</w:t>
            </w:r>
          </w:p>
        </w:tc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  <w:szCs w:val="22"/>
                <w:lang w:eastAsia="ru-RU"/>
              </w:rPr>
              <w:t xml:space="preserve">Темп роста исполнения к факту 2023 года </w:t>
            </w:r>
          </w:p>
        </w:tc>
      </w:tr>
      <w:tr w:rsidR="00710D60">
        <w:trPr>
          <w:trHeight w:val="189"/>
          <w:tblHeader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3</w:t>
            </w:r>
          </w:p>
        </w:tc>
        <w:tc>
          <w:tcPr>
            <w:tcW w:w="16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6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8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578 529 591,42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b/>
                <w:bCs/>
                <w:sz w:val="20"/>
                <w:szCs w:val="20"/>
              </w:rPr>
              <w:t>686 769 362,68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627 987 927,40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91,4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108,5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11 840 578,33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Arial"/>
                <w:sz w:val="20"/>
                <w:szCs w:val="20"/>
              </w:rPr>
              <w:t>11 342 892,41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11 332 229,50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99,9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95,7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</w:t>
            </w:r>
            <w:r>
              <w:rPr>
                <w:sz w:val="20"/>
                <w:szCs w:val="20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120 105,94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Arial"/>
                <w:sz w:val="20"/>
                <w:szCs w:val="20"/>
              </w:rPr>
              <w:t>121 557,51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80 814,00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66,5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67,3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239 358 647,61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sz w:val="20"/>
                <w:szCs w:val="20"/>
              </w:rPr>
              <w:t>252 951 518,07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250 796 477,48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104,8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Arial"/>
                <w:sz w:val="20"/>
                <w:szCs w:val="20"/>
              </w:rPr>
              <w:t>26 119,68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26 119,68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544,2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70 684 534,66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sz w:val="20"/>
                <w:szCs w:val="20"/>
              </w:rPr>
              <w:t>69 949 825,00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69 586 304,16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98,4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</w:pPr>
            <w:r>
              <w:rPr>
                <w:color w:val="000000"/>
                <w:sz w:val="18"/>
                <w:szCs w:val="22"/>
                <w:lang w:eastAsia="ru-RU"/>
              </w:rPr>
              <w:t>07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332 923,80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sz w:val="20"/>
                <w:szCs w:val="20"/>
              </w:rPr>
              <w:t>3 881,88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3 881,88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1,2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63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rFonts w:eastAsia="Arial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-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256 188 001,08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rFonts w:eastAsia="Arial"/>
                <w:sz w:val="20"/>
                <w:szCs w:val="20"/>
              </w:rPr>
              <w:t>351 873 568,13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296 162 100,70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84,2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115,6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2 973 400,00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</w:rPr>
              <w:t>3 989 300,00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3 989 300,00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134,2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2 973 400,00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3 989 300,00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3 989 300,00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134,2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>29 625 948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 xml:space="preserve">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29 992 642,84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29 893 123,11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99,7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Органы юстиции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8 272 755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80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8 011 159,20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8 011 159,20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96,8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3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272 400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308 955,38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308 955,38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113,4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20 030 471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13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20 656 555,43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20 557 053,30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102,6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1 050 321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21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1 015 972,83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1 015 955,23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96,7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288 163 862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96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530 878 097,58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523 081 921,67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98,5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181,5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6 331 682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70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6 259 000,00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6 259 000,00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98,9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59 492 334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14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124 559 287,52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121 023 705,02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203,4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72 610 836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45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85 501 880,87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84 708 098,94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116,7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119 721 151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276 279 757,90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275 464 337,96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230,1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14 479 674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58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19 612 926,11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18 640 696,97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95,0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128,7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15 528 184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18 665 245,18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16 986 082,78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91,0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109,4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 xml:space="preserve">1 414 953 816.05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2 235 400 600,21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2 220 324 496,55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99,3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156,9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504 560 980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448 798 941,03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443 305 810,67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98,8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87,9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549 508 238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39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1 653 626 167,45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1 648 712 180,14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99,7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300,0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360 874 297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63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132 973 291,73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128 304 305,74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96,5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35,6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10 300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2 200,00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21,4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>2 958 114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 xml:space="preserve">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106 679 139,31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103 625 390,26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97,1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3503,1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2 958 114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106 679 139,31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103 625 390,26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3503,1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>2 083 159 013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color w:val="000000"/>
                <w:sz w:val="20"/>
                <w:szCs w:val="20"/>
                <w:lang w:val="en-US" w:bidi="ar"/>
              </w:rPr>
              <w:t xml:space="preserve">81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2 353 231 016,80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2 319 165 644,35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98,6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111,3</w:t>
            </w:r>
          </w:p>
        </w:tc>
      </w:tr>
      <w:tr w:rsidR="00710D60">
        <w:trPr>
          <w:trHeight w:val="301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542 540 545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67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487 230 321,85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487 227 705,79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89,8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1 157 068 796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28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1 487 408 534,30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1 456 178 613,43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97,9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125,9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188 591 405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73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167 858 305,72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167 632 318,59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99,9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88,9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33 657 616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34 261 237,10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34 050 091,57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99,4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101,2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161 300 650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12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176 472 617,83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174 076 914,97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98,6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107,9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221 064 775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40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205 421 690,78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205 345 036,38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92,9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203 479 838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54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187 067 216,17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187 067 216,17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91,9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17 584 936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86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18 354 474,61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18 277 820,21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99,6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103,9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Здравоохранение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604 600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604 600,00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604 600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604 600,00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604 600,00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36 070 276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20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50 888 591,00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50 519 293,53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99,3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140,1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4 899 174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25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6 065 600,00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5 913 101,52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120,7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557 469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12 102 604,00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11 976 178,00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2148,3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23 388 000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22 900 000,00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22 899 040,00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97,9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7 225 632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95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9 820 387,00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9 730 974,01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99,1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134,7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111 324 007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55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150 165 973,70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150 165 973,70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134,9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16 302 800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50 933 726,96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50 933 726,96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312,4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87 337 455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31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90 919 662,00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90 919 662,00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104,1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1 313 500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1 819 000,00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1 819 000,00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138,5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6 370 252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24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6 493 584,74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6 493 584,74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101,9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25 492 363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97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25 273 382,31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25 273 382,31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99,1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25 492 363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97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25 273 382,31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25 273 382,31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99,1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156 358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208 300,00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191 361,28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91,9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122,4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156 358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88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208 300,00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191 361,28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91,9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122,4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Межбюджетные трансферты бюджетам субъектов Российской Федерации и муниципальных образований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180 455 167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75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215 674 038,35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215 674 038,35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119,5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125 672 800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140 903 900,00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140 903 900,00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112,1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val="en-US" w:bidi="ar"/>
              </w:rPr>
              <w:t>54 782 367</w:t>
            </w:r>
            <w:r>
              <w:rPr>
                <w:rFonts w:eastAsia="Arial"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sz w:val="20"/>
                <w:szCs w:val="20"/>
                <w:lang w:val="en-US" w:bidi="ar"/>
              </w:rPr>
              <w:t xml:space="preserve">75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74 770 138,35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74 770 138,35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100,0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Cs/>
                <w:sz w:val="20"/>
                <w:szCs w:val="20"/>
                <w:lang w:val="en-US" w:eastAsia="ru-RU"/>
              </w:rPr>
            </w:pPr>
            <w:r>
              <w:rPr>
                <w:bCs/>
                <w:sz w:val="20"/>
                <w:szCs w:val="20"/>
                <w:lang w:val="en-US" w:eastAsia="ru-RU"/>
              </w:rPr>
              <w:t>136,5</w:t>
            </w:r>
          </w:p>
        </w:tc>
      </w:tr>
      <w:tr w:rsidR="00710D60">
        <w:trPr>
          <w:trHeight w:val="315"/>
        </w:trPr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6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>4 975 531 296</w:t>
            </w:r>
            <w:r>
              <w:rPr>
                <w:rFonts w:eastAsia="Arial"/>
                <w:b/>
                <w:bCs/>
                <w:sz w:val="20"/>
                <w:szCs w:val="20"/>
                <w:lang w:bidi="ar"/>
              </w:rPr>
              <w:t>,</w:t>
            </w:r>
            <w:r>
              <w:rPr>
                <w:rFonts w:eastAsia="Arial"/>
                <w:b/>
                <w:bCs/>
                <w:sz w:val="20"/>
                <w:szCs w:val="20"/>
                <w:lang w:val="en-US" w:bidi="ar"/>
              </w:rPr>
              <w:t xml:space="preserve">87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6 595 176 735,56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6 475 841 488,89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98,2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val="en-US" w:eastAsia="ru-RU"/>
              </w:rPr>
              <w:t>130,2</w:t>
            </w:r>
          </w:p>
        </w:tc>
      </w:tr>
    </w:tbl>
    <w:p w:rsidR="00710D60" w:rsidRDefault="009D350C">
      <w:pPr>
        <w:jc w:val="both"/>
      </w:pPr>
      <w:r>
        <w:rPr>
          <w:b/>
        </w:rPr>
        <w:tab/>
      </w:r>
    </w:p>
    <w:p w:rsidR="00710D60" w:rsidRDefault="009D350C">
      <w:pPr>
        <w:ind w:firstLine="708"/>
        <w:jc w:val="both"/>
      </w:pPr>
      <w:r>
        <w:t xml:space="preserve">Исполнение расходов бюджета района за 2024 год в сравнении с 2023 годом характеризуется положительной динамикой – 130,2 %, прирост в абсолютном выражении составил 1 500 310192,02 руб. </w:t>
      </w:r>
    </w:p>
    <w:p w:rsidR="00710D60" w:rsidRDefault="009D350C">
      <w:pPr>
        <w:tabs>
          <w:tab w:val="left" w:pos="720"/>
        </w:tabs>
        <w:jc w:val="both"/>
      </w:pPr>
      <w:r>
        <w:tab/>
      </w:r>
      <w:r>
        <w:t>Исполнение расходов бюджета района за 2024 год в разрезе видов расхода представлено в таблице 8.</w:t>
      </w:r>
    </w:p>
    <w:p w:rsidR="00710D60" w:rsidRDefault="00710D60">
      <w:pPr>
        <w:tabs>
          <w:tab w:val="left" w:pos="720"/>
        </w:tabs>
        <w:jc w:val="center"/>
        <w:rPr>
          <w:b/>
          <w:bCs/>
        </w:rPr>
      </w:pPr>
    </w:p>
    <w:p w:rsidR="00710D60" w:rsidRDefault="009D350C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Исполнение расходов бюджета района за 2024 год в разрезе видов расхода</w:t>
      </w:r>
    </w:p>
    <w:p w:rsidR="00710D60" w:rsidRDefault="009D350C">
      <w:pPr>
        <w:spacing w:line="276" w:lineRule="auto"/>
        <w:ind w:firstLine="708"/>
        <w:jc w:val="right"/>
        <w:rPr>
          <w:lang w:val="en-US"/>
        </w:rPr>
      </w:pPr>
      <w:r>
        <w:rPr>
          <w:bCs/>
        </w:rPr>
        <w:t xml:space="preserve">Таблица </w:t>
      </w:r>
      <w:r>
        <w:rPr>
          <w:bCs/>
          <w:lang w:val="en-US"/>
        </w:rPr>
        <w:t>8</w:t>
      </w:r>
    </w:p>
    <w:tbl>
      <w:tblPr>
        <w:tblW w:w="98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631"/>
        <w:gridCol w:w="1555"/>
        <w:gridCol w:w="1702"/>
        <w:gridCol w:w="1526"/>
        <w:gridCol w:w="912"/>
        <w:gridCol w:w="975"/>
      </w:tblGrid>
      <w:tr w:rsidR="00710D60">
        <w:trPr>
          <w:trHeight w:val="810"/>
          <w:tblHeader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63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55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Исполнение 202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года, руб.</w:t>
            </w:r>
          </w:p>
        </w:tc>
        <w:tc>
          <w:tcPr>
            <w:tcW w:w="170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Уточненный план на 2024 год, руб.</w:t>
            </w:r>
          </w:p>
        </w:tc>
        <w:tc>
          <w:tcPr>
            <w:tcW w:w="15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Исполнение 202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года, руб.</w:t>
            </w:r>
          </w:p>
        </w:tc>
        <w:tc>
          <w:tcPr>
            <w:tcW w:w="91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% исполн. к уточ. плану на 2024 год, %</w:t>
            </w:r>
          </w:p>
        </w:tc>
        <w:tc>
          <w:tcPr>
            <w:tcW w:w="97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темп роста к 202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году, %</w:t>
            </w:r>
          </w:p>
        </w:tc>
      </w:tr>
      <w:tr w:rsidR="00710D60">
        <w:trPr>
          <w:trHeight w:val="375"/>
          <w:tblHeader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710D60">
        <w:trPr>
          <w:trHeight w:val="205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603 992 515,21 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635 053 224,47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629 968 649,17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99,2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104,3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9,7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  <w:tr w:rsidR="00710D60">
        <w:trPr>
          <w:trHeight w:val="782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603 454 010,45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714 048 479.90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700 053 895.75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116,0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 w:rsidR="00710D60">
        <w:trPr>
          <w:trHeight w:val="72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38 882 719,38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54 275 188.94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53 651 733.81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98,9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138,0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D60">
        <w:trPr>
          <w:trHeight w:val="1005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846 081 631,47 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1 804 856 674.49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1 794 679 961.64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99,4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212,1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27,4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27,7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322 326 037,50 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359 832 657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359 832 653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111,6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5,6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D60">
        <w:trPr>
          <w:trHeight w:val="107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2 300 018 259,99 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2 612 423 938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2 580 971 822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112,2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39,6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D60">
        <w:trPr>
          <w:trHeight w:val="767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156 358,88 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208 300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191 361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91,9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122,4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0,003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 w:rsidR="00710D60">
        <w:trPr>
          <w:trHeight w:val="200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258 231 895,09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356 913 665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07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352 441 886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09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112,2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5,2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5,4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50 000,00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1 818 493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1 818 493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3 637,0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lastRenderedPageBreak/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0,001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D60">
        <w:trPr>
          <w:trHeight w:val="72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2 010 217,50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2 258 028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2 231 032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D60">
        <w:trPr>
          <w:trHeight w:val="255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53 488 084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rFonts w:ascii="Calibri" w:hAnsi="Calibri" w:cs="Arial CYR"/>
                <w:color w:val="00000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10D60">
        <w:trPr>
          <w:trHeight w:val="255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Специальные расходы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327 651,40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710D60">
        <w:trPr>
          <w:trHeight w:val="480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-удельный вес в общей сумме расходов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0,006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9D350C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i/>
                <w:iCs/>
                <w:color w:val="000000"/>
                <w:sz w:val="18"/>
                <w:szCs w:val="18"/>
                <w:highlight w:val="cyan"/>
              </w:rPr>
            </w:pP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2EFDA"/>
            <w:vAlign w:val="center"/>
          </w:tcPr>
          <w:p w:rsidR="00710D60" w:rsidRDefault="00710D60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</w:p>
        </w:tc>
      </w:tr>
      <w:tr w:rsidR="00710D60">
        <w:trPr>
          <w:trHeight w:val="315"/>
        </w:trPr>
        <w:tc>
          <w:tcPr>
            <w:tcW w:w="255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3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4 975 531 296,87  </w:t>
            </w:r>
          </w:p>
        </w:tc>
        <w:tc>
          <w:tcPr>
            <w:tcW w:w="170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6 595 176 735</w:t>
            </w:r>
            <w:r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  <w:lang w:val="en-US"/>
              </w:rPr>
              <w:t>56</w:t>
            </w:r>
          </w:p>
        </w:tc>
        <w:tc>
          <w:tcPr>
            <w:tcW w:w="15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6 475 841 488</w:t>
            </w:r>
            <w:r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  <w:lang w:val="en-US"/>
              </w:rPr>
              <w:t>89</w:t>
            </w:r>
          </w:p>
        </w:tc>
        <w:tc>
          <w:tcPr>
            <w:tcW w:w="91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98,2</w:t>
            </w:r>
          </w:p>
        </w:tc>
        <w:tc>
          <w:tcPr>
            <w:tcW w:w="97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0D60" w:rsidRDefault="009D350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130,2</w:t>
            </w:r>
          </w:p>
        </w:tc>
      </w:tr>
    </w:tbl>
    <w:p w:rsidR="00710D60" w:rsidRDefault="00710D60">
      <w:pPr>
        <w:ind w:left="34" w:firstLine="709"/>
        <w:jc w:val="both"/>
        <w:rPr>
          <w:highlight w:val="cyan"/>
        </w:rPr>
      </w:pPr>
    </w:p>
    <w:p w:rsidR="00710D60" w:rsidRDefault="009D350C">
      <w:pPr>
        <w:ind w:left="34" w:firstLine="709"/>
        <w:jc w:val="both"/>
      </w:pPr>
      <w:r>
        <w:t>Наибольший удельный вес (39,9 %) в общих расходах бюджета занимают расходы на п</w:t>
      </w:r>
      <w:r>
        <w:rPr>
          <w:color w:val="000000"/>
        </w:rPr>
        <w:t>редоставление субсидий бюджетным, автономным учреждениям и иным некоммерческим организациям</w:t>
      </w:r>
      <w:r>
        <w:t>, в абсолютной сумме расходы составляют 2 580 971 822,15 руб. Основную долю 2 574 006 815,15 руб. или 99,7 % от плановых показателей составляют субсидии 28 муниципальным учреждениям района: 2 428 550 140,91 руб. - на выполнение муниципального задания (на о</w:t>
      </w:r>
      <w:r>
        <w:t>беспечение деятельности муниципальных учреждений); 145 456 674,24 руб. - на иные цели (материально-техническое обеспечение учреждений, реализация мероприятий, предусмотренных муниципальными программами района).</w:t>
      </w:r>
    </w:p>
    <w:p w:rsidR="00710D60" w:rsidRDefault="009D350C">
      <w:pPr>
        <w:ind w:left="34" w:firstLine="709"/>
        <w:jc w:val="both"/>
        <w:rPr>
          <w:highlight w:val="cyan"/>
        </w:rPr>
      </w:pPr>
      <w:r>
        <w:t>Значительную долю (27,7 %) в общем объеме рас</w:t>
      </w:r>
      <w:r>
        <w:t>ходов бюджета района составляют расходы на капитальное строительство объектов муниципальной собственности, приобретение имущества в муниципальную собственность, в абсолютной сумме расходы составляют 1 794 679 961,64 руб.</w:t>
      </w:r>
    </w:p>
    <w:p w:rsidR="00710D60" w:rsidRDefault="009D350C">
      <w:pPr>
        <w:tabs>
          <w:tab w:val="left" w:pos="720"/>
        </w:tabs>
        <w:ind w:firstLine="851"/>
        <w:jc w:val="both"/>
      </w:pPr>
      <w:r>
        <w:t>На долю расходов по заработной плат</w:t>
      </w:r>
      <w:r>
        <w:t>е и начислениям на выплаты по оплате труда работникам органов местного самоуправления района и муниципальных казенных учреждений приходится 9,7 % в общем объеме расходов или 629 968 649,17 руб.</w:t>
      </w:r>
    </w:p>
    <w:p w:rsidR="00710D60" w:rsidRDefault="009D350C">
      <w:pPr>
        <w:tabs>
          <w:tab w:val="left" w:pos="0"/>
        </w:tabs>
        <w:ind w:firstLine="851"/>
        <w:jc w:val="both"/>
      </w:pPr>
      <w:r>
        <w:t>В 2024 году основные задачи бюджетной политики в сфере межбюдж</w:t>
      </w:r>
      <w:r>
        <w:t>етных отношений района реализованы в полном объеме. На долю безвозмездных перечислений бюджетам поселений (дотации, субвенции, субсидии, иные межбюджетные трансферты) в общем объеме расходов бюджета района приходится 5,6 % или 359 832 653,24 руб., в том чи</w:t>
      </w:r>
      <w:r>
        <w:t>сле:</w:t>
      </w:r>
    </w:p>
    <w:p w:rsidR="00710D60" w:rsidRDefault="009D350C">
      <w:pPr>
        <w:tabs>
          <w:tab w:val="left" w:pos="0"/>
        </w:tabs>
        <w:ind w:firstLine="851"/>
        <w:jc w:val="both"/>
      </w:pPr>
      <w:r>
        <w:t>дотации – 140 903 900,00 руб.;</w:t>
      </w:r>
    </w:p>
    <w:p w:rsidR="00710D60" w:rsidRDefault="009D350C">
      <w:pPr>
        <w:tabs>
          <w:tab w:val="left" w:pos="0"/>
        </w:tabs>
        <w:ind w:firstLine="851"/>
        <w:jc w:val="both"/>
      </w:pPr>
      <w:r>
        <w:t>иные межбюджетные трансферты – 155 744 194,14 руб.;</w:t>
      </w:r>
    </w:p>
    <w:p w:rsidR="00710D60" w:rsidRDefault="009D350C">
      <w:pPr>
        <w:tabs>
          <w:tab w:val="left" w:pos="0"/>
        </w:tabs>
        <w:ind w:firstLine="851"/>
        <w:jc w:val="both"/>
      </w:pPr>
      <w:r>
        <w:t>субвенции – 4 158 400,00 руб.;</w:t>
      </w:r>
    </w:p>
    <w:p w:rsidR="00710D60" w:rsidRDefault="009D350C">
      <w:pPr>
        <w:tabs>
          <w:tab w:val="left" w:pos="0"/>
        </w:tabs>
        <w:ind w:firstLine="851"/>
        <w:jc w:val="both"/>
      </w:pPr>
      <w:r>
        <w:t>субсидии - 59 026 159,10 руб.</w:t>
      </w:r>
    </w:p>
    <w:p w:rsidR="00710D60" w:rsidRDefault="00710D60">
      <w:pPr>
        <w:tabs>
          <w:tab w:val="left" w:pos="0"/>
        </w:tabs>
        <w:jc w:val="both"/>
      </w:pPr>
    </w:p>
    <w:p w:rsidR="00710D60" w:rsidRDefault="009D350C">
      <w:pPr>
        <w:tabs>
          <w:tab w:val="left" w:pos="720"/>
        </w:tabs>
        <w:jc w:val="center"/>
        <w:rPr>
          <w:b/>
        </w:rPr>
      </w:pPr>
      <w:r>
        <w:rPr>
          <w:b/>
        </w:rPr>
        <w:t>Исполнение по источникам финансирования</w:t>
      </w:r>
    </w:p>
    <w:p w:rsidR="00710D60" w:rsidRDefault="009D350C">
      <w:pPr>
        <w:tabs>
          <w:tab w:val="left" w:pos="720"/>
        </w:tabs>
        <w:jc w:val="center"/>
      </w:pPr>
      <w:r>
        <w:rPr>
          <w:b/>
        </w:rPr>
        <w:t>дефицита бюджета Белоярского района за 2024 год</w:t>
      </w:r>
    </w:p>
    <w:p w:rsidR="00710D60" w:rsidRDefault="00710D60">
      <w:pPr>
        <w:ind w:left="1080"/>
        <w:jc w:val="center"/>
        <w:rPr>
          <w:b/>
          <w:highlight w:val="yellow"/>
        </w:rPr>
      </w:pPr>
    </w:p>
    <w:p w:rsidR="00710D60" w:rsidRDefault="009D350C">
      <w:pPr>
        <w:ind w:firstLine="708"/>
        <w:jc w:val="both"/>
        <w:rPr>
          <w:rFonts w:eastAsia="Calibri"/>
        </w:rPr>
      </w:pPr>
      <w:r>
        <w:t xml:space="preserve">Бюджет района за 2024 год исполнен с дефицитом бюджета в сумме 139 404 067,86 руб. при плановом показателе дефицита бюджета в размере 225 461 716,55 руб., обеспеченного остатками </w:t>
      </w:r>
      <w:r>
        <w:rPr>
          <w:rFonts w:eastAsia="Calibri"/>
        </w:rPr>
        <w:t xml:space="preserve">средств на счетах по учету средств предыдущего финансового года. </w:t>
      </w:r>
    </w:p>
    <w:p w:rsidR="00710D60" w:rsidRDefault="009D350C">
      <w:pPr>
        <w:ind w:firstLine="540"/>
        <w:jc w:val="both"/>
        <w:rPr>
          <w:color w:val="000000"/>
        </w:rPr>
      </w:pPr>
      <w:r>
        <w:rPr>
          <w:bCs/>
          <w:color w:val="000000"/>
        </w:rPr>
        <w:t>В 2024 году</w:t>
      </w:r>
      <w:r>
        <w:rPr>
          <w:bCs/>
          <w:color w:val="000000"/>
        </w:rPr>
        <w:t xml:space="preserve"> бюджету района из бюджета Ханты-Мансийского автономного округа - Югры был предоставлен бюджетный кредит на финансирование мероприятий по осуществлению северного завоза продукции (товаров) в районы и населенные пункты на территории автономного округа с огр</w:t>
      </w:r>
      <w:r>
        <w:rPr>
          <w:bCs/>
          <w:color w:val="000000"/>
        </w:rPr>
        <w:t>аниченными сроками завоза грузов в сумме 541 958 074,00 руб., в том числе:</w:t>
      </w:r>
    </w:p>
    <w:p w:rsidR="00710D60" w:rsidRDefault="009D350C">
      <w:pPr>
        <w:ind w:firstLine="540"/>
        <w:jc w:val="both"/>
        <w:rPr>
          <w:color w:val="000000"/>
        </w:rPr>
      </w:pPr>
      <w:r>
        <w:rPr>
          <w:bCs/>
          <w:color w:val="000000"/>
        </w:rPr>
        <w:lastRenderedPageBreak/>
        <w:t>- на централизованную поставку каменного угля в сумме 2 983 500,00 руб.;</w:t>
      </w:r>
    </w:p>
    <w:p w:rsidR="00710D60" w:rsidRDefault="009D350C"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>- на централизованную поставку нефтепродуктов в сумме 538 974 574,00 руб.</w:t>
      </w:r>
    </w:p>
    <w:p w:rsidR="00710D60" w:rsidRDefault="009D350C"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>Исполнение долговых обязательств п</w:t>
      </w:r>
      <w:r>
        <w:rPr>
          <w:bCs/>
          <w:color w:val="000000"/>
        </w:rPr>
        <w:t>о бюджетным кредитам осуществлялось в соответствии с утвержденными графиками погашения к договорам бюджетных кредитов на финансирование мероприятий по северному завозу, заключенными между администрацией Белоярского района и Департаментов финансов ХМАО-Югры</w:t>
      </w:r>
      <w:r>
        <w:rPr>
          <w:bCs/>
          <w:color w:val="000000"/>
        </w:rPr>
        <w:t>. Также, в целях обеспечения уровня долговой устойчивости Белоярского района и соблюдением требований бюджетного законодательства в погашении бюджетных кредитов были направлены дополнительные средства бюджета района.</w:t>
      </w:r>
    </w:p>
    <w:p w:rsidR="00710D60" w:rsidRDefault="009D350C"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 xml:space="preserve">Бюджетный кредит на поставку каменного </w:t>
      </w:r>
      <w:r>
        <w:rPr>
          <w:bCs/>
          <w:color w:val="000000"/>
        </w:rPr>
        <w:t xml:space="preserve">угля погашен в отчетном году в полном объёме. </w:t>
      </w:r>
    </w:p>
    <w:p w:rsidR="00710D60" w:rsidRDefault="009D350C">
      <w:pPr>
        <w:ind w:firstLine="540"/>
        <w:jc w:val="both"/>
        <w:rPr>
          <w:bCs/>
        </w:rPr>
      </w:pPr>
      <w:r>
        <w:rPr>
          <w:bCs/>
        </w:rPr>
        <w:t>Переходящий остаток долгового обязательства</w:t>
      </w:r>
      <w:r>
        <w:t xml:space="preserve"> </w:t>
      </w:r>
      <w:r>
        <w:rPr>
          <w:bCs/>
        </w:rPr>
        <w:t>по бюджетному кредиту на централизованную поставку нефтепродуктов на 1 января 2025 года составил</w:t>
      </w:r>
      <w:r>
        <w:rPr>
          <w:bCs/>
        </w:rPr>
        <w:br/>
        <w:t>235 946 073,49 руб.</w:t>
      </w:r>
    </w:p>
    <w:p w:rsidR="00710D60" w:rsidRDefault="009D350C">
      <w:pPr>
        <w:ind w:firstLine="540"/>
        <w:jc w:val="both"/>
        <w:rPr>
          <w:bCs/>
          <w:color w:val="000000"/>
        </w:rPr>
      </w:pPr>
      <w:r>
        <w:rPr>
          <w:bCs/>
          <w:color w:val="000000"/>
        </w:rPr>
        <w:t>Муниципальные гарантии в 2024 году не предоставл</w:t>
      </w:r>
      <w:r>
        <w:rPr>
          <w:bCs/>
          <w:color w:val="000000"/>
        </w:rPr>
        <w:t>ялись.</w:t>
      </w:r>
    </w:p>
    <w:p w:rsidR="00710D60" w:rsidRDefault="009D350C">
      <w:pPr>
        <w:jc w:val="center"/>
      </w:pPr>
      <w:r>
        <w:rPr>
          <w:b/>
          <w:bCs/>
        </w:rPr>
        <w:t>_________________________________________________________________________</w:t>
      </w:r>
    </w:p>
    <w:p w:rsidR="00710D60" w:rsidRDefault="009D350C">
      <w:pPr>
        <w:ind w:firstLine="720"/>
        <w:jc w:val="both"/>
        <w:rPr>
          <w:b/>
          <w:bCs/>
        </w:rPr>
      </w:pPr>
      <w:r>
        <w:rPr>
          <w:b/>
          <w:bCs/>
          <w:color w:val="000000"/>
        </w:rPr>
        <w:t>СПРАВОЧНО:</w:t>
      </w:r>
    </w:p>
    <w:p w:rsidR="00710D60" w:rsidRDefault="009D350C">
      <w:pPr>
        <w:ind w:firstLine="720"/>
        <w:jc w:val="both"/>
      </w:pPr>
      <w:r>
        <w:rPr>
          <w:color w:val="000000"/>
        </w:rPr>
        <w:t xml:space="preserve">Исполнение </w:t>
      </w:r>
      <w:r>
        <w:rPr>
          <w:b/>
          <w:color w:val="000000"/>
          <w:u w:val="single"/>
        </w:rPr>
        <w:t>консолидированного бюджета</w:t>
      </w:r>
      <w:r>
        <w:rPr>
          <w:color w:val="000000"/>
        </w:rPr>
        <w:t xml:space="preserve"> Белоярского района за 2024 год по доходам составило </w:t>
      </w:r>
      <w:r>
        <w:rPr>
          <w:b/>
          <w:color w:val="000000"/>
        </w:rPr>
        <w:t>6 399 650 614,09</w:t>
      </w:r>
      <w:r>
        <w:rPr>
          <w:b/>
          <w:bCs/>
          <w:color w:val="000000"/>
        </w:rPr>
        <w:t xml:space="preserve"> руб.</w:t>
      </w:r>
      <w:r>
        <w:rPr>
          <w:color w:val="000000"/>
        </w:rPr>
        <w:t xml:space="preserve">, по расходам </w:t>
      </w:r>
      <w:r>
        <w:rPr>
          <w:b/>
          <w:color w:val="000000"/>
        </w:rPr>
        <w:t>6 563 581 772,17 руб.</w:t>
      </w:r>
      <w:r>
        <w:rPr>
          <w:color w:val="000000"/>
        </w:rPr>
        <w:t>, дефицит консолид</w:t>
      </w:r>
      <w:r>
        <w:rPr>
          <w:color w:val="000000"/>
        </w:rPr>
        <w:t xml:space="preserve">ированного бюджета </w:t>
      </w:r>
      <w:r>
        <w:rPr>
          <w:b/>
          <w:color w:val="000000"/>
        </w:rPr>
        <w:t>163 931 158,08</w:t>
      </w:r>
      <w:r>
        <w:rPr>
          <w:b/>
          <w:bCs/>
          <w:color w:val="000000"/>
        </w:rPr>
        <w:t xml:space="preserve"> руб</w:t>
      </w:r>
      <w:r>
        <w:rPr>
          <w:color w:val="000000"/>
        </w:rPr>
        <w:t>.</w:t>
      </w:r>
    </w:p>
    <w:p w:rsidR="00710D60" w:rsidRDefault="009D350C">
      <w:pPr>
        <w:jc w:val="center"/>
      </w:pPr>
      <w:r>
        <w:rPr>
          <w:b/>
          <w:bCs/>
        </w:rPr>
        <w:t>____________________________________________________________________________</w:t>
      </w:r>
    </w:p>
    <w:p w:rsidR="00710D60" w:rsidRDefault="009D350C">
      <w:pPr>
        <w:ind w:firstLine="708"/>
        <w:jc w:val="both"/>
      </w:pPr>
      <w:r>
        <w:rPr>
          <w:color w:val="000000"/>
        </w:rPr>
        <w:t>Ознакомиться с материалами по проекту решения Думы Белоярского района «Об исполнении бюджета Белоярского района за 2024 год», а также с през</w:t>
      </w:r>
      <w:r>
        <w:rPr>
          <w:color w:val="000000"/>
        </w:rPr>
        <w:t>ентацией «Бюджет для граждан», разработанной на основе проекта решения Думы Белоярского района «Об исполнении бюджета Белоярского района за 2024 год», можно по нижеприведенным ссылкам:</w:t>
      </w:r>
    </w:p>
    <w:p w:rsidR="00710D60" w:rsidRDefault="00710D60">
      <w:pPr>
        <w:jc w:val="both"/>
        <w:rPr>
          <w:color w:val="000000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353"/>
      </w:tblGrid>
      <w:tr w:rsidR="00710D60">
        <w:tc>
          <w:tcPr>
            <w:tcW w:w="47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10D60" w:rsidRDefault="009D350C">
            <w:pPr>
              <w:jc w:val="both"/>
            </w:pPr>
            <w:r>
              <w:rPr>
                <w:color w:val="000000"/>
              </w:rPr>
              <w:t xml:space="preserve">Материалы к проекту решения Думы Белоярского района </w:t>
            </w:r>
            <w:r>
              <w:rPr>
                <w:b/>
                <w:color w:val="000000"/>
              </w:rPr>
              <w:t>«Об исполнении бюд</w:t>
            </w:r>
            <w:r>
              <w:rPr>
                <w:b/>
                <w:color w:val="000000"/>
              </w:rPr>
              <w:t>жета Белоярского района за 2024 год»</w:t>
            </w:r>
          </w:p>
        </w:tc>
        <w:tc>
          <w:tcPr>
            <w:tcW w:w="53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10D60" w:rsidRPr="009D350C" w:rsidRDefault="009D350C">
            <w:pPr>
              <w:jc w:val="both"/>
              <w:rPr>
                <w:b/>
                <w:bCs/>
                <w:color w:val="000000"/>
              </w:rPr>
            </w:pPr>
            <w:hyperlink r:id="rId10" w:tooltip="https://admbel.ru/local-control/administration/finans/Otch/1/97430/" w:history="1">
              <w:r w:rsidRPr="009D350C">
                <w:rPr>
                  <w:rStyle w:val="a6"/>
                  <w:b/>
                  <w:bCs/>
                </w:rPr>
                <w:t>https://admbel.ru/local-control/administration/finans/Otch/1/9</w:t>
              </w:r>
              <w:r w:rsidRPr="009D350C">
                <w:rPr>
                  <w:rStyle w:val="a6"/>
                  <w:b/>
                  <w:bCs/>
                </w:rPr>
                <w:t>7430/</w:t>
              </w:r>
            </w:hyperlink>
          </w:p>
          <w:p w:rsidR="00710D60" w:rsidRPr="009D350C" w:rsidRDefault="00710D60">
            <w:pPr>
              <w:jc w:val="both"/>
              <w:rPr>
                <w:b/>
                <w:color w:val="000000"/>
                <w:highlight w:val="yellow"/>
              </w:rPr>
            </w:pPr>
          </w:p>
        </w:tc>
      </w:tr>
      <w:tr w:rsidR="00710D60">
        <w:tc>
          <w:tcPr>
            <w:tcW w:w="47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10D60" w:rsidRDefault="009D350C">
            <w:pPr>
              <w:jc w:val="both"/>
            </w:pPr>
            <w:r>
              <w:rPr>
                <w:b/>
              </w:rPr>
              <w:t>Бюджет для граждан</w:t>
            </w:r>
          </w:p>
        </w:tc>
        <w:tc>
          <w:tcPr>
            <w:tcW w:w="53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710D60" w:rsidRDefault="009D350C">
            <w:pPr>
              <w:jc w:val="both"/>
            </w:pPr>
            <w:hyperlink r:id="rId11" w:tooltip="http://admbel.ru/upload/iblock/802/1djupjjqpcqrsoxr33x6ssz12s2tliz3.pdf" w:history="1">
              <w:r w:rsidRPr="009D350C">
                <w:rPr>
                  <w:rStyle w:val="a6"/>
                </w:rPr>
                <w:t>http://admbel.ru/upload/iblock/802/1djupjjqpcqrsoxr33x6ssz12s2tliz3.pdf</w:t>
              </w:r>
            </w:hyperlink>
          </w:p>
          <w:p w:rsidR="00710D60" w:rsidRDefault="00710D60">
            <w:pPr>
              <w:jc w:val="both"/>
              <w:rPr>
                <w:b/>
                <w:highlight w:val="yellow"/>
              </w:rPr>
            </w:pPr>
          </w:p>
        </w:tc>
      </w:tr>
    </w:tbl>
    <w:p w:rsidR="00710D60" w:rsidRDefault="00710D60"/>
    <w:p w:rsidR="00710D60" w:rsidRDefault="00710D60">
      <w:bookmarkStart w:id="1" w:name="_GoBack"/>
      <w:bookmarkEnd w:id="1"/>
    </w:p>
    <w:sectPr w:rsidR="00710D60">
      <w:headerReference w:type="default" r:id="rId12"/>
      <w:headerReference w:type="first" r:id="rId13"/>
      <w:footnotePr>
        <w:pos w:val="beneathText"/>
      </w:footnotePr>
      <w:pgSz w:w="11906" w:h="16838"/>
      <w:pgMar w:top="851" w:right="737" w:bottom="709" w:left="1134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50C" w:rsidRDefault="009D350C">
      <w:r>
        <w:separator/>
      </w:r>
    </w:p>
  </w:endnote>
  <w:endnote w:type="continuationSeparator" w:id="0">
    <w:p w:rsidR="009D350C" w:rsidRDefault="009D3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00"/>
    <w:family w:val="auto"/>
    <w:pitch w:val="default"/>
  </w:font>
  <w:font w:name="Microsoft YaHei">
    <w:panose1 w:val="020B0503020204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50C" w:rsidRDefault="009D350C">
      <w:r>
        <w:separator/>
      </w:r>
    </w:p>
  </w:footnote>
  <w:footnote w:type="continuationSeparator" w:id="0">
    <w:p w:rsidR="009D350C" w:rsidRDefault="009D3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D60" w:rsidRDefault="009D350C">
    <w:pPr>
      <w:pStyle w:val="1a"/>
      <w:jc w:val="center"/>
    </w:pPr>
    <w:r>
      <w:fldChar w:fldCharType="begin"/>
    </w:r>
    <w:r>
      <w:instrText xml:space="preserve"> PAGE </w:instrText>
    </w:r>
    <w:r>
      <w:fldChar w:fldCharType="separate"/>
    </w:r>
    <w:r w:rsidR="00C15249">
      <w:rPr>
        <w:noProof/>
      </w:rPr>
      <w:t>15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D60" w:rsidRDefault="00710D60">
    <w:pPr>
      <w:pStyle w:val="1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519F0"/>
    <w:multiLevelType w:val="hybridMultilevel"/>
    <w:tmpl w:val="84F66CE0"/>
    <w:lvl w:ilvl="0" w:tplc="3C4482AC">
      <w:start w:val="1"/>
      <w:numFmt w:val="decimal"/>
      <w:pStyle w:val="1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746E35B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FC12D26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CBE819C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2F205A1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B914D20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17987ED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452C0C1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261C8E0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0D60"/>
    <w:rsid w:val="00710D60"/>
    <w:rsid w:val="009D350C"/>
    <w:rsid w:val="00C1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7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OC Heading"/>
    <w:uiPriority w:val="39"/>
    <w:unhideWhenUsed/>
  </w:style>
  <w:style w:type="character" w:styleId="a4">
    <w:name w:val="footnote reference"/>
    <w:uiPriority w:val="99"/>
    <w:unhideWhenUsed/>
    <w:rPr>
      <w:vertAlign w:val="superscript"/>
    </w:rPr>
  </w:style>
  <w:style w:type="character" w:styleId="a5">
    <w:name w:val="endnote reference"/>
    <w:uiPriority w:val="99"/>
    <w:semiHidden/>
    <w:unhideWhenUsed/>
    <w:rPr>
      <w:vertAlign w:val="superscript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paragraph" w:styleId="a7">
    <w:name w:val="endnote text"/>
    <w:basedOn w:val="a"/>
    <w:link w:val="a8"/>
    <w:uiPriority w:val="99"/>
    <w:semiHidden/>
    <w:unhideWhenUsed/>
    <w:rPr>
      <w:sz w:val="20"/>
    </w:rPr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d">
    <w:name w:val="header"/>
    <w:basedOn w:val="a"/>
    <w:link w:val="10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e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">
    <w:name w:val="Title"/>
    <w:basedOn w:val="a"/>
    <w:next w:val="a"/>
    <w:link w:val="af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1">
    <w:name w:val="footer"/>
    <w:basedOn w:val="a"/>
    <w:link w:val="13"/>
    <w:uiPriority w:val="99"/>
    <w:unhideWhenUsed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</w:style>
  <w:style w:type="table" w:styleId="a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No Spacing"/>
    <w:uiPriority w:val="1"/>
    <w:qFormat/>
    <w:rPr>
      <w:lang w:eastAsia="zh-CN"/>
    </w:rPr>
  </w:style>
  <w:style w:type="character" w:customStyle="1" w:styleId="af0">
    <w:name w:val="Название Знак"/>
    <w:link w:val="af"/>
    <w:uiPriority w:val="10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8">
    <w:name w:val="Выделенная цитата Знак"/>
    <w:link w:val="af7"/>
    <w:uiPriority w:val="30"/>
    <w:rPr>
      <w:i/>
    </w:rPr>
  </w:style>
  <w:style w:type="character" w:customStyle="1" w:styleId="10">
    <w:name w:val="Верхний колонтитул Знак1"/>
    <w:link w:val="ad"/>
    <w:uiPriority w:val="99"/>
  </w:style>
  <w:style w:type="character" w:customStyle="1" w:styleId="13">
    <w:name w:val="Нижний колонтитул Знак1"/>
    <w:link w:val="af1"/>
    <w:uiPriority w:val="99"/>
  </w:style>
  <w:style w:type="character" w:customStyle="1" w:styleId="aa">
    <w:name w:val="Название объекта Знак"/>
    <w:link w:val="a9"/>
    <w:uiPriority w:val="35"/>
    <w:rPr>
      <w:b/>
      <w:bCs/>
      <w:color w:val="4F81BD"/>
      <w:sz w:val="18"/>
      <w:szCs w:val="18"/>
    </w:rPr>
  </w:style>
  <w:style w:type="table" w:customStyle="1" w:styleId="TableGridLight">
    <w:name w:val="Table Grid Light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paragraph" w:customStyle="1" w:styleId="14">
    <w:name w:val="Заголовок оглавления1"/>
    <w:uiPriority w:val="39"/>
    <w:unhideWhenUsed/>
    <w:rPr>
      <w:lang w:eastAsia="zh-CN"/>
    </w:rPr>
  </w:style>
  <w:style w:type="paragraph" w:customStyle="1" w:styleId="11">
    <w:name w:val="Заголовок 11"/>
    <w:basedOn w:val="a"/>
    <w:next w:val="a"/>
    <w:uiPriority w:val="67"/>
    <w:qFormat/>
    <w:pPr>
      <w:keepNext/>
      <w:numPr>
        <w:numId w:val="1"/>
      </w:numPr>
      <w:jc w:val="both"/>
      <w:outlineLvl w:val="0"/>
    </w:pPr>
    <w:rPr>
      <w:sz w:val="28"/>
      <w:szCs w:val="28"/>
    </w:rPr>
  </w:style>
  <w:style w:type="character" w:customStyle="1" w:styleId="130">
    <w:name w:val="Основной шрифт абзаца13"/>
    <w:semiHidden/>
  </w:style>
  <w:style w:type="table" w:customStyle="1" w:styleId="15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Просмотренная гиперссылка1"/>
    <w:uiPriority w:val="68"/>
    <w:rPr>
      <w:color w:val="800080"/>
      <w:u w:val="single"/>
    </w:rPr>
  </w:style>
  <w:style w:type="character" w:customStyle="1" w:styleId="17">
    <w:name w:val="Выделение1"/>
    <w:uiPriority w:val="67"/>
    <w:qFormat/>
    <w:rPr>
      <w:i/>
      <w:iCs/>
    </w:rPr>
  </w:style>
  <w:style w:type="character" w:customStyle="1" w:styleId="18">
    <w:name w:val="Гиперссылка1"/>
    <w:uiPriority w:val="68"/>
    <w:rPr>
      <w:color w:val="0000FF"/>
      <w:u w:val="single"/>
    </w:rPr>
  </w:style>
  <w:style w:type="paragraph" w:customStyle="1" w:styleId="112">
    <w:name w:val="Текст выноски11"/>
    <w:basedOn w:val="a"/>
    <w:link w:val="19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"/>
    <w:link w:val="112"/>
    <w:rPr>
      <w:rFonts w:ascii="Segoe UI" w:hAnsi="Segoe UI" w:cs="Segoe UI"/>
      <w:sz w:val="18"/>
      <w:szCs w:val="18"/>
      <w:lang w:eastAsia="zh-CN"/>
    </w:rPr>
  </w:style>
  <w:style w:type="paragraph" w:customStyle="1" w:styleId="1a">
    <w:name w:val="Верхний колонтитул1"/>
    <w:basedOn w:val="a"/>
    <w:uiPriority w:val="68"/>
  </w:style>
  <w:style w:type="paragraph" w:customStyle="1" w:styleId="1b">
    <w:name w:val="Основной текст1"/>
    <w:basedOn w:val="a"/>
    <w:uiPriority w:val="67"/>
    <w:pPr>
      <w:spacing w:after="120"/>
    </w:pPr>
  </w:style>
  <w:style w:type="paragraph" w:customStyle="1" w:styleId="1c">
    <w:name w:val="Основной текст с отступом1"/>
    <w:basedOn w:val="a"/>
    <w:uiPriority w:val="67"/>
    <w:pPr>
      <w:spacing w:after="120"/>
      <w:ind w:left="283"/>
    </w:pPr>
  </w:style>
  <w:style w:type="paragraph" w:customStyle="1" w:styleId="1d">
    <w:name w:val="Нижний колонтитул1"/>
    <w:basedOn w:val="a"/>
    <w:uiPriority w:val="67"/>
  </w:style>
  <w:style w:type="paragraph" w:customStyle="1" w:styleId="1e">
    <w:name w:val="Список1"/>
    <w:basedOn w:val="1b"/>
    <w:uiPriority w:val="67"/>
    <w:rPr>
      <w:rFonts w:cs="Mangal"/>
    </w:rPr>
  </w:style>
  <w:style w:type="character" w:customStyle="1" w:styleId="WW8Num1z0">
    <w:name w:val="WW8Num1z0"/>
    <w:uiPriority w:val="3"/>
  </w:style>
  <w:style w:type="character" w:customStyle="1" w:styleId="WW8Num1z1">
    <w:name w:val="WW8Num1z1"/>
    <w:uiPriority w:val="3"/>
  </w:style>
  <w:style w:type="character" w:customStyle="1" w:styleId="WW8Num1z2">
    <w:name w:val="WW8Num1z2"/>
    <w:uiPriority w:val="3"/>
  </w:style>
  <w:style w:type="character" w:customStyle="1" w:styleId="WW8Num1z3">
    <w:name w:val="WW8Num1z3"/>
    <w:uiPriority w:val="3"/>
  </w:style>
  <w:style w:type="character" w:customStyle="1" w:styleId="WW8Num1z4">
    <w:name w:val="WW8Num1z4"/>
    <w:uiPriority w:val="3"/>
  </w:style>
  <w:style w:type="character" w:customStyle="1" w:styleId="WW8Num1z5">
    <w:name w:val="WW8Num1z5"/>
    <w:uiPriority w:val="3"/>
  </w:style>
  <w:style w:type="character" w:customStyle="1" w:styleId="WW8Num1z6">
    <w:name w:val="WW8Num1z6"/>
    <w:uiPriority w:val="3"/>
  </w:style>
  <w:style w:type="character" w:customStyle="1" w:styleId="WW8Num1z7">
    <w:name w:val="WW8Num1z7"/>
    <w:uiPriority w:val="3"/>
  </w:style>
  <w:style w:type="character" w:customStyle="1" w:styleId="WW8Num1z8">
    <w:name w:val="WW8Num1z8"/>
    <w:uiPriority w:val="3"/>
  </w:style>
  <w:style w:type="character" w:customStyle="1" w:styleId="120">
    <w:name w:val="Основной шрифт абзаца12"/>
    <w:uiPriority w:val="67"/>
  </w:style>
  <w:style w:type="character" w:customStyle="1" w:styleId="113">
    <w:name w:val="Основной шрифт абзаца11"/>
    <w:uiPriority w:val="67"/>
  </w:style>
  <w:style w:type="character" w:customStyle="1" w:styleId="100">
    <w:name w:val="Основной шрифт абзаца10"/>
    <w:uiPriority w:val="67"/>
  </w:style>
  <w:style w:type="character" w:customStyle="1" w:styleId="92">
    <w:name w:val="Основной шрифт абзаца9"/>
    <w:uiPriority w:val="67"/>
  </w:style>
  <w:style w:type="character" w:customStyle="1" w:styleId="82">
    <w:name w:val="Основной шрифт абзаца8"/>
    <w:uiPriority w:val="67"/>
  </w:style>
  <w:style w:type="character" w:customStyle="1" w:styleId="72">
    <w:name w:val="Основной шрифт абзаца7"/>
    <w:uiPriority w:val="67"/>
  </w:style>
  <w:style w:type="character" w:customStyle="1" w:styleId="62">
    <w:name w:val="Основной шрифт абзаца6"/>
    <w:uiPriority w:val="67"/>
  </w:style>
  <w:style w:type="character" w:customStyle="1" w:styleId="52">
    <w:name w:val="Основной шрифт абзаца5"/>
    <w:uiPriority w:val="67"/>
  </w:style>
  <w:style w:type="character" w:customStyle="1" w:styleId="42">
    <w:name w:val="Основной шрифт абзаца4"/>
    <w:uiPriority w:val="67"/>
  </w:style>
  <w:style w:type="character" w:customStyle="1" w:styleId="32">
    <w:name w:val="Основной шрифт абзаца3"/>
    <w:uiPriority w:val="67"/>
  </w:style>
  <w:style w:type="character" w:customStyle="1" w:styleId="24">
    <w:name w:val="Основной шрифт абзаца2"/>
    <w:uiPriority w:val="67"/>
  </w:style>
  <w:style w:type="character" w:customStyle="1" w:styleId="WW8Num2z0">
    <w:name w:val="WW8Num2z0"/>
    <w:uiPriority w:val="3"/>
    <w:rPr>
      <w:rFonts w:ascii="Times New Roman" w:eastAsia="Times New Roman" w:hAnsi="Times New Roman" w:cs="Times New Roman"/>
    </w:rPr>
  </w:style>
  <w:style w:type="character" w:customStyle="1" w:styleId="WW8Num2z1">
    <w:name w:val="WW8Num2z1"/>
    <w:uiPriority w:val="3"/>
    <w:rPr>
      <w:rFonts w:ascii="Courier New" w:hAnsi="Courier New" w:cs="Courier New"/>
    </w:rPr>
  </w:style>
  <w:style w:type="character" w:customStyle="1" w:styleId="WW8Num2z2">
    <w:name w:val="WW8Num2z2"/>
    <w:uiPriority w:val="3"/>
    <w:rPr>
      <w:rFonts w:ascii="Wingdings" w:hAnsi="Wingdings" w:cs="Wingdings"/>
    </w:rPr>
  </w:style>
  <w:style w:type="character" w:customStyle="1" w:styleId="WW8Num2z3">
    <w:name w:val="WW8Num2z3"/>
    <w:uiPriority w:val="3"/>
    <w:rPr>
      <w:rFonts w:ascii="Symbol" w:hAnsi="Symbol" w:cs="Symbol"/>
    </w:rPr>
  </w:style>
  <w:style w:type="character" w:customStyle="1" w:styleId="WW8Num3z0">
    <w:name w:val="WW8Num3z0"/>
    <w:uiPriority w:val="3"/>
  </w:style>
  <w:style w:type="character" w:customStyle="1" w:styleId="WW8Num3z1">
    <w:name w:val="WW8Num3z1"/>
    <w:uiPriority w:val="3"/>
  </w:style>
  <w:style w:type="character" w:customStyle="1" w:styleId="WW8Num3z2">
    <w:name w:val="WW8Num3z2"/>
    <w:uiPriority w:val="3"/>
  </w:style>
  <w:style w:type="character" w:customStyle="1" w:styleId="WW8Num3z3">
    <w:name w:val="WW8Num3z3"/>
    <w:uiPriority w:val="3"/>
  </w:style>
  <w:style w:type="character" w:customStyle="1" w:styleId="WW8Num3z4">
    <w:name w:val="WW8Num3z4"/>
    <w:uiPriority w:val="3"/>
  </w:style>
  <w:style w:type="character" w:customStyle="1" w:styleId="WW8Num3z5">
    <w:name w:val="WW8Num3z5"/>
    <w:uiPriority w:val="3"/>
  </w:style>
  <w:style w:type="character" w:customStyle="1" w:styleId="WW8Num3z6">
    <w:name w:val="WW8Num3z6"/>
    <w:uiPriority w:val="3"/>
  </w:style>
  <w:style w:type="character" w:customStyle="1" w:styleId="WW8Num3z7">
    <w:name w:val="WW8Num3z7"/>
    <w:uiPriority w:val="3"/>
  </w:style>
  <w:style w:type="character" w:customStyle="1" w:styleId="WW8Num3z8">
    <w:name w:val="WW8Num3z8"/>
    <w:uiPriority w:val="3"/>
  </w:style>
  <w:style w:type="character" w:customStyle="1" w:styleId="1f">
    <w:name w:val="Основной шрифт абзаца1"/>
    <w:uiPriority w:val="67"/>
  </w:style>
  <w:style w:type="character" w:customStyle="1" w:styleId="af9">
    <w:name w:val="Основной текст с отступом Знак"/>
    <w:uiPriority w:val="67"/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uiPriority w:val="67"/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Верхний колонтитул Знак"/>
    <w:uiPriority w:val="68"/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Нижний колонтитул Знак"/>
    <w:uiPriority w:val="67"/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Текст выноски Знак"/>
    <w:uiPriority w:val="67"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uiPriority w:val="6"/>
    <w:rPr>
      <w:rFonts w:ascii="Arial" w:eastAsia="Times New Roman" w:hAnsi="Arial" w:cs="Arial"/>
      <w:lang w:val="ru-RU" w:bidi="ar-SA"/>
    </w:rPr>
  </w:style>
  <w:style w:type="character" w:customStyle="1" w:styleId="1f0">
    <w:name w:val="Заголовок 1 Знак"/>
    <w:uiPriority w:val="67"/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Абзац списка Знак"/>
    <w:uiPriority w:val="67"/>
    <w:rPr>
      <w:rFonts w:eastAsia="Times New Roman"/>
      <w:sz w:val="22"/>
      <w:szCs w:val="22"/>
    </w:rPr>
  </w:style>
  <w:style w:type="paragraph" w:customStyle="1" w:styleId="121">
    <w:name w:val="Заголовок12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2">
    <w:name w:val="Указатель12"/>
    <w:basedOn w:val="a"/>
    <w:uiPriority w:val="67"/>
    <w:pPr>
      <w:suppressLineNumbers/>
    </w:pPr>
    <w:rPr>
      <w:rFonts w:cs="Mangal"/>
    </w:rPr>
  </w:style>
  <w:style w:type="paragraph" w:customStyle="1" w:styleId="114">
    <w:name w:val="Заголовок11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15">
    <w:name w:val="Название объекта11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116">
    <w:name w:val="Указатель11"/>
    <w:basedOn w:val="a"/>
    <w:uiPriority w:val="67"/>
    <w:pPr>
      <w:suppressLineNumbers/>
    </w:pPr>
    <w:rPr>
      <w:rFonts w:cs="Mangal"/>
    </w:rPr>
  </w:style>
  <w:style w:type="paragraph" w:customStyle="1" w:styleId="101">
    <w:name w:val="Заголовок10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02">
    <w:name w:val="Название объекта10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103">
    <w:name w:val="Указатель10"/>
    <w:basedOn w:val="a"/>
    <w:uiPriority w:val="67"/>
    <w:pPr>
      <w:suppressLineNumbers/>
    </w:pPr>
    <w:rPr>
      <w:rFonts w:cs="Mangal"/>
    </w:rPr>
  </w:style>
  <w:style w:type="paragraph" w:customStyle="1" w:styleId="93">
    <w:name w:val="Заголовок9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94">
    <w:name w:val="Название объекта9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95">
    <w:name w:val="Указатель9"/>
    <w:basedOn w:val="a"/>
    <w:uiPriority w:val="67"/>
    <w:pPr>
      <w:suppressLineNumbers/>
    </w:pPr>
    <w:rPr>
      <w:rFonts w:cs="Mangal"/>
    </w:rPr>
  </w:style>
  <w:style w:type="paragraph" w:customStyle="1" w:styleId="83">
    <w:name w:val="Заголовок8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84">
    <w:name w:val="Название объекта8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85">
    <w:name w:val="Указатель8"/>
    <w:basedOn w:val="a"/>
    <w:uiPriority w:val="67"/>
    <w:pPr>
      <w:suppressLineNumbers/>
    </w:pPr>
    <w:rPr>
      <w:rFonts w:cs="Mangal"/>
    </w:rPr>
  </w:style>
  <w:style w:type="paragraph" w:customStyle="1" w:styleId="73">
    <w:name w:val="Заголовок7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74">
    <w:name w:val="Название объекта7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75">
    <w:name w:val="Указатель7"/>
    <w:basedOn w:val="a"/>
    <w:uiPriority w:val="67"/>
    <w:pPr>
      <w:suppressLineNumbers/>
    </w:pPr>
    <w:rPr>
      <w:rFonts w:cs="Mangal"/>
    </w:rPr>
  </w:style>
  <w:style w:type="paragraph" w:customStyle="1" w:styleId="63">
    <w:name w:val="Заголовок6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64">
    <w:name w:val="Название объекта6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65">
    <w:name w:val="Указатель6"/>
    <w:basedOn w:val="a"/>
    <w:uiPriority w:val="67"/>
    <w:pPr>
      <w:suppressLineNumbers/>
    </w:pPr>
    <w:rPr>
      <w:rFonts w:cs="Mangal"/>
    </w:rPr>
  </w:style>
  <w:style w:type="paragraph" w:customStyle="1" w:styleId="53">
    <w:name w:val="Заголовок5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4">
    <w:name w:val="Название объекта5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55">
    <w:name w:val="Указатель5"/>
    <w:basedOn w:val="a"/>
    <w:uiPriority w:val="67"/>
    <w:pPr>
      <w:suppressLineNumbers/>
    </w:pPr>
    <w:rPr>
      <w:rFonts w:cs="Mangal"/>
    </w:rPr>
  </w:style>
  <w:style w:type="paragraph" w:customStyle="1" w:styleId="43">
    <w:name w:val="Заголовок4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4">
    <w:name w:val="Название объекта4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45">
    <w:name w:val="Указатель4"/>
    <w:basedOn w:val="a"/>
    <w:uiPriority w:val="67"/>
    <w:pPr>
      <w:suppressLineNumbers/>
    </w:pPr>
    <w:rPr>
      <w:rFonts w:cs="Mangal"/>
    </w:rPr>
  </w:style>
  <w:style w:type="paragraph" w:customStyle="1" w:styleId="33">
    <w:name w:val="Заголовок3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34">
    <w:name w:val="Название объекта3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35">
    <w:name w:val="Указатель3"/>
    <w:basedOn w:val="a"/>
    <w:uiPriority w:val="67"/>
    <w:pPr>
      <w:suppressLineNumbers/>
    </w:pPr>
    <w:rPr>
      <w:rFonts w:cs="Mangal"/>
    </w:rPr>
  </w:style>
  <w:style w:type="paragraph" w:customStyle="1" w:styleId="25">
    <w:name w:val="Заголовок2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6">
    <w:name w:val="Название объекта2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27">
    <w:name w:val="Указатель2"/>
    <w:basedOn w:val="a"/>
    <w:uiPriority w:val="67"/>
    <w:pPr>
      <w:suppressLineNumbers/>
    </w:pPr>
    <w:rPr>
      <w:rFonts w:cs="Mangal"/>
    </w:rPr>
  </w:style>
  <w:style w:type="paragraph" w:customStyle="1" w:styleId="1f1">
    <w:name w:val="Заголовок1"/>
    <w:basedOn w:val="a"/>
    <w:next w:val="1b"/>
    <w:uiPriority w:val="6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f2">
    <w:name w:val="Название объекта1"/>
    <w:basedOn w:val="a"/>
    <w:uiPriority w:val="67"/>
    <w:pPr>
      <w:suppressLineNumbers/>
      <w:spacing w:before="120" w:after="120"/>
    </w:pPr>
    <w:rPr>
      <w:rFonts w:cs="Mangal"/>
      <w:i/>
      <w:iCs/>
    </w:rPr>
  </w:style>
  <w:style w:type="paragraph" w:customStyle="1" w:styleId="1f3">
    <w:name w:val="Указатель1"/>
    <w:basedOn w:val="a"/>
    <w:uiPriority w:val="67"/>
    <w:pPr>
      <w:suppressLineNumbers/>
    </w:pPr>
    <w:rPr>
      <w:rFonts w:cs="Mangal"/>
    </w:rPr>
  </w:style>
  <w:style w:type="paragraph" w:customStyle="1" w:styleId="ConsPlusNonformat">
    <w:name w:val="ConsPlusNonformat"/>
    <w:uiPriority w:val="6"/>
    <w:pPr>
      <w:widowControl w:val="0"/>
    </w:pPr>
    <w:rPr>
      <w:rFonts w:ascii="Courier New" w:hAnsi="Courier New" w:cs="Courier New"/>
      <w:lang w:eastAsia="zh-CN"/>
    </w:rPr>
  </w:style>
  <w:style w:type="paragraph" w:customStyle="1" w:styleId="ConsPlusNormal0">
    <w:name w:val="ConsPlusNormal"/>
    <w:uiPriority w:val="6"/>
    <w:pPr>
      <w:ind w:firstLine="720"/>
    </w:pPr>
    <w:rPr>
      <w:rFonts w:ascii="Arial" w:hAnsi="Arial" w:cs="Arial"/>
      <w:lang w:eastAsia="zh-CN"/>
    </w:rPr>
  </w:style>
  <w:style w:type="paragraph" w:customStyle="1" w:styleId="1f4">
    <w:name w:val="Без интервала1"/>
    <w:uiPriority w:val="67"/>
    <w:rPr>
      <w:sz w:val="24"/>
      <w:szCs w:val="24"/>
      <w:lang w:eastAsia="zh-CN"/>
    </w:rPr>
  </w:style>
  <w:style w:type="paragraph" w:customStyle="1" w:styleId="aff">
    <w:name w:val="Верхний и нижний колонтитулы"/>
    <w:basedOn w:val="a"/>
    <w:uiPriority w:val="68"/>
    <w:pPr>
      <w:suppressLineNumbers/>
      <w:tabs>
        <w:tab w:val="center" w:pos="4819"/>
        <w:tab w:val="right" w:pos="9638"/>
      </w:tabs>
    </w:pPr>
  </w:style>
  <w:style w:type="paragraph" w:customStyle="1" w:styleId="1f5">
    <w:name w:val="Текст выноски1"/>
    <w:basedOn w:val="a"/>
    <w:uiPriority w:val="6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6"/>
    <w:rPr>
      <w:rFonts w:eastAsia="Calibri"/>
      <w:sz w:val="24"/>
      <w:szCs w:val="24"/>
      <w:lang w:eastAsia="zh-CN"/>
    </w:rPr>
  </w:style>
  <w:style w:type="paragraph" w:customStyle="1" w:styleId="1f6">
    <w:name w:val="Абзац списка1"/>
    <w:basedOn w:val="a"/>
    <w:uiPriority w:val="67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f0">
    <w:name w:val="Всегда"/>
    <w:basedOn w:val="a"/>
    <w:uiPriority w:val="67"/>
    <w:pPr>
      <w:ind w:firstLine="709"/>
      <w:jc w:val="both"/>
    </w:pPr>
    <w:rPr>
      <w:rFonts w:eastAsia="Calibri"/>
    </w:rPr>
  </w:style>
  <w:style w:type="paragraph" w:customStyle="1" w:styleId="1f7">
    <w:name w:val="Обычный (веб)1"/>
    <w:basedOn w:val="a"/>
    <w:uiPriority w:val="68"/>
    <w:pPr>
      <w:spacing w:before="280" w:after="280"/>
    </w:pPr>
  </w:style>
  <w:style w:type="paragraph" w:customStyle="1" w:styleId="aff1">
    <w:name w:val="Содержимое таблицы"/>
    <w:basedOn w:val="a"/>
    <w:uiPriority w:val="67"/>
    <w:pPr>
      <w:widowControl w:val="0"/>
      <w:suppressLineNumbers/>
    </w:pPr>
  </w:style>
  <w:style w:type="paragraph" w:customStyle="1" w:styleId="aff2">
    <w:name w:val="Заголовок таблицы"/>
    <w:basedOn w:val="aff1"/>
    <w:uiPriority w:val="67"/>
    <w:pPr>
      <w:jc w:val="center"/>
    </w:pPr>
    <w:rPr>
      <w:b/>
      <w:bCs/>
    </w:rPr>
  </w:style>
  <w:style w:type="paragraph" w:customStyle="1" w:styleId="28">
    <w:name w:val="Без интервала2"/>
    <w:qFormat/>
    <w:rPr>
      <w:sz w:val="24"/>
      <w:szCs w:val="24"/>
      <w:lang w:eastAsia="zh-CN"/>
    </w:rPr>
  </w:style>
  <w:style w:type="paragraph" w:styleId="aff3">
    <w:name w:val="Balloon Text"/>
    <w:basedOn w:val="a"/>
    <w:link w:val="29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29">
    <w:name w:val="Текст выноски Знак2"/>
    <w:link w:val="aff3"/>
    <w:uiPriority w:val="99"/>
    <w:semiHidden/>
    <w:rPr>
      <w:rFonts w:ascii="Segoe UI" w:hAnsi="Segoe UI" w:cs="Segoe UI"/>
      <w:sz w:val="18"/>
      <w:szCs w:val="18"/>
      <w:lang w:eastAsia="zh-CN"/>
    </w:rPr>
  </w:style>
  <w:style w:type="character" w:styleId="aff4">
    <w:name w:val="FollowedHyperlink"/>
    <w:uiPriority w:val="99"/>
    <w:semiHidden/>
    <w:unhideWhenUsed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mbel.ru/upload/iblock/802/1djupjjqpcqrsoxr33x6ssz12s2tliz3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admbel.ru/local-control/administration/finans/Otch/1/9743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5530</Words>
  <Characters>31524</Characters>
  <Application>Microsoft Office Word</Application>
  <DocSecurity>0</DocSecurity>
  <Lines>262</Lines>
  <Paragraphs>73</Paragraphs>
  <ScaleCrop>false</ScaleCrop>
  <Company>diakov.net</Company>
  <LinksUpToDate>false</LinksUpToDate>
  <CharactersWithSpaces>36981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OrlovaON</dc:creator>
  <cp:lastModifiedBy>Мартынов Алексей Андреевич</cp:lastModifiedBy>
  <cp:revision>44</cp:revision>
  <dcterms:created xsi:type="dcterms:W3CDTF">2021-04-14T08:20:00Z</dcterms:created>
  <dcterms:modified xsi:type="dcterms:W3CDTF">2025-04-30T04:32:00Z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